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after="240" w:line="439" w:lineRule="auto"/>
        <w:jc w:val="center"/>
        <w:rPr>
          <w:rFonts w:cs="Times New Roman"/>
        </w:rPr>
      </w:pPr>
      <w:r>
        <w:rPr>
          <w:rFonts w:eastAsia="黑体" w:cs="Times New Roman"/>
          <w:b/>
          <w:bCs/>
          <w:sz w:val="36"/>
          <w:szCs w:val="36"/>
        </w:rPr>
        <w:t>Trusted Data Asset Governance in Higher Education Administration:</w:t>
      </w:r>
    </w:p>
    <w:p>
      <w:pPr>
        <w:spacing w:after="240" w:line="439" w:lineRule="auto"/>
        <w:jc w:val="center"/>
        <w:rPr>
          <w:rFonts w:cs="Times New Roman"/>
        </w:rPr>
      </w:pPr>
      <w:r>
        <w:rPr>
          <w:rFonts w:eastAsia="黑体" w:cs="Times New Roman"/>
          <w:b/>
          <w:bCs/>
          <w:sz w:val="36"/>
          <w:szCs w:val="36"/>
        </w:rPr>
        <w:t>A Framework for Enhancing Administrative Transparency and Data Sovereignty</w:t>
      </w:r>
    </w:p>
    <w:p>
      <w:pPr>
        <w:rPr>
          <w:rFonts w:cs="Times New Roman" w:hint="eastAsia"/>
        </w:rPr>
      </w:pPr>
      <w:r>
        <w:rPr>
          <w:rFonts w:cs="Times New Roman" w:hint="eastAsia"/>
        </w:rPr>
        <w:t>Lingyun Xiang is an Independent Economist and Academician. He is a prolific researcher and author in the fields of emerging industrial finance, intelligent manufacturing, and digital economy. He has authored several influential books, including Intelligent Manufacturing—Industry Empowerment and Business Innovation, ChatGPT: The Future is Here, and The Logic of Blockchain. His current research focuses on Trusted Data Assets (TDA), Trusted Data Spaces, and the intersection of blockchain technology with vocational education and higher education management. He is dedicated to advancing the frameworks of data sovereignty and administrative transparency in academic settings.</w:t>
      </w:r>
    </w:p>
    <w:p>
      <w:pPr>
        <w:rPr>
          <w:rFonts w:cs="Times New Roman" w:hint="eastAsia"/>
        </w:rPr>
      </w:pPr>
      <w:r>
        <w:rPr>
          <w:rFonts w:cs="Times New Roman" w:hint="eastAsia"/>
        </w:rPr>
        <w:t>Contact Information:</w:t>
      </w:r>
    </w:p>
    <w:p>
      <w:pPr>
        <w:rPr>
          <w:rFonts w:cs="Times New Roman" w:hint="eastAsia"/>
        </w:rPr>
      </w:pPr>
      <w:r>
        <w:rPr>
          <w:rFonts w:cs="Times New Roman" w:hint="eastAsia"/>
        </w:rPr>
        <w:t>• Affiliation: Independent Researcher</w:t>
      </w:r>
    </w:p>
    <w:p>
      <w:pPr>
        <w:rPr>
          <w:rFonts w:cs="Times New Roman" w:hint="eastAsia"/>
        </w:rPr>
      </w:pPr>
      <w:r>
        <w:rPr>
          <w:rFonts w:cs="Times New Roman" w:hint="eastAsia"/>
        </w:rPr>
        <w:t>• Address: Yorba Linda, California, USA</w:t>
      </w:r>
    </w:p>
    <w:p>
      <w:pPr>
        <w:rPr>
          <w:rFonts w:cs="Times New Roman" w:hint="eastAsia"/>
        </w:rPr>
      </w:pPr>
      <w:r>
        <w:rPr>
          <w:rFonts w:cs="Times New Roman" w:hint="eastAsia"/>
        </w:rPr>
        <w:t>• Email: xlyaaron@gmail.com</w:t>
      </w:r>
    </w:p>
    <w:p>
      <w:pPr>
        <w:rPr>
          <w:rFonts w:cs="Times New Roman"/>
        </w:rPr>
      </w:pPr>
      <w:r>
        <w:rPr>
          <w:rFonts w:cs="Times New Roman" w:hint="eastAsia"/>
        </w:rPr>
        <w:t>• Phone: +1 669 400 0001</w:t>
      </w:r>
      <w:bookmarkStart w:id="0" w:name="_GoBack"/>
      <w:bookmarkEnd w:id="0"/>
    </w:p>
    <w:p>
      <w:pPr>
        <w:spacing w:before="120" w:after="120"/>
        <w:jc w:val="center"/>
        <w:rPr>
          <w:rFonts w:cs="Times New Roman"/>
        </w:rPr>
      </w:pPr>
      <w:r>
        <w:rPr>
          <w:rFonts w:eastAsia="黑体" w:cs="Times New Roman"/>
          <w:b/>
          <w:bCs/>
          <w:sz w:val="28"/>
          <w:szCs w:val="28"/>
        </w:rPr>
        <w:t>Abstract</w:t>
      </w:r>
    </w:p>
    <w:p>
      <w:pPr>
        <w:rPr>
          <w:rFonts w:cs="Times New Roman"/>
        </w:rPr>
      </w:pPr>
      <w:r>
        <w:rPr>
          <w:rFonts w:eastAsia="黑体" w:cs="Times New Roman"/>
          <w:b/>
          <w:bCs/>
        </w:rPr>
        <w:t xml:space="preserve">Abstract: </w:t>
      </w:r>
      <w:r>
        <w:rPr>
          <w:rFonts w:cs="Times New Roman"/>
        </w:rPr>
        <w:t>Against the backdrop of accelerating digital transformation in higher education worldwide, governance challenges such as data silos, untrustworthy data, and unclear ownership have become increasingly prominent in universities, severely constraining the improvement of administrative transparency and the scientific advancement of decision-making. This study elevates the Trusted Data Asset (TDA) from a purely technical concept to a novel governance instrument, systematically articulating its distinctive connotations in educational contexts. Drawing on cryptographic technologies such as blockchain, Decentralized Identifiers (DIDs), and Verifiable Credentials (VCs), it constructs a three-dimensional governance framework encompassing data ownership, access control, and algorithmic accountability. Adopting a design-based research approach, the study uses a Double First-Class university as a prototype to build a TDA-based management system and analyzes its application effects in ideological-political evaluation of courses, teaching quality monitoring, and academic integrity management. The findings reveal that the introduction of TDA can effectively reshape university administrative audit processes, reducing average audit duration by approximately 40%, while transforming the data ownership relationships among students, universities, and government from one-way dependence to multi-stakeholder co-governance. The study concludes that TDA serves not only as the infrastructure for modernizing university governance but also as a crucial institutional mechanism for devolving data sovereignty from the national level down to the individual level, with far-reaching significance for restructuring the future ecosystem of higher education.</w:t>
      </w:r>
    </w:p>
    <w:p>
      <w:pPr>
        <w:rPr>
          <w:rFonts w:cs="Times New Roman"/>
        </w:rPr>
      </w:pPr>
    </w:p>
    <w:p>
      <w:pPr>
        <w:rPr>
          <w:rFonts w:cs="Times New Roman"/>
        </w:rPr>
      </w:pPr>
      <w:r>
        <w:rPr>
          <w:rFonts w:eastAsia="黑体" w:cs="Times New Roman"/>
          <w:b/>
          <w:bCs/>
        </w:rPr>
        <w:t>Keywords：</w:t>
      </w:r>
      <w:r>
        <w:rPr>
          <w:rFonts w:cs="Times New Roman"/>
        </w:rPr>
        <w:t>Trusted Data Asset; Higher Education Governance; Data Sovereignty; Administrative Transparency; Algorithmic Governance</w:t>
      </w:r>
    </w:p>
    <w:p>
      <w:pPr>
        <w:rPr>
          <w:rFonts w:cs="Times New Roman"/>
        </w:rPr>
      </w:pPr>
    </w:p>
    <w:p>
      <w:pPr>
        <w:rPr>
          <w:rFonts w:cs="Times New Roman"/>
        </w:rPr>
      </w:pPr>
    </w:p>
    <w:p>
      <w:pPr>
        <w:pStyle w:val="1"/>
        <w:spacing w:before="360" w:after="200"/>
        <w:rPr>
          <w:rFonts w:cs="Times New Roman"/>
        </w:rPr>
      </w:pPr>
      <w:r>
        <w:rPr>
          <w:rFonts w:eastAsia="黑体" w:cs="Times New Roman"/>
          <w:bCs/>
          <w:sz w:val="30"/>
          <w:szCs w:val="30"/>
        </w:rPr>
        <w:t>1. Introduction</w:t>
      </w:r>
    </w:p>
    <w:p>
      <w:pPr>
        <w:pStyle w:val="2"/>
        <w:spacing w:before="280" w:after="160"/>
        <w:rPr>
          <w:rFonts w:cs="Times New Roman"/>
        </w:rPr>
      </w:pPr>
      <w:r>
        <w:rPr>
          <w:rFonts w:eastAsia="黑体" w:cs="Times New Roman"/>
          <w:bCs/>
          <w:szCs w:val="28"/>
        </w:rPr>
        <w:t>1.1 Research Background</w:t>
      </w:r>
    </w:p>
    <w:p>
      <w:pPr>
        <w:rPr>
          <w:rFonts w:cs="Times New Roman"/>
        </w:rPr>
      </w:pPr>
      <w:r>
        <w:rPr>
          <w:rFonts w:cs="Times New Roman"/>
        </w:rPr>
        <w:t>Since entering the digital era, higher education institutions worldwide have been undergoing an unprecedented digital transformation. According to the EDUCAUSE 2024 Higher Education Technology Outlook report, more than 75% of surveyed universities have launched or plan to launch large-scale digital strategies, and data is regarded as the fourth category of core assets after human resources, capital, and facilities. However, accompanied by the exponential expansion of data volume, the data governance dilemmas in universities have also become increasingly pronounced. Meanwhile, with the successive implementation of the General Data Protection Regulation (GDPR), China's Data Security Law, and other regulations, more than 75 countries worldwide have enacted or proposed legislation related to data localization and data sovereignty. As typical data-intensive institutions, universities must not only handle large volumes of sensitive data involving different jurisdictions in cross-border cooperation, international student recruitment, and joint research, but also strike a balance among the data rights of faculty and students, institutional reputation, and public responsibility. This poses a fundamental challenge to traditional institution-centric data governance models.</w:t>
      </w:r>
    </w:p>
    <w:p>
      <w:pPr>
        <w:pStyle w:val="2"/>
        <w:rPr>
          <w:rFonts w:cs="Times New Roman"/>
        </w:rPr>
      </w:pPr>
      <w:r>
        <w:rPr>
          <w:rFonts w:cs="Times New Roman"/>
        </w:rPr>
        <w:t>1.2 Problem Statement</w:t>
      </w:r>
    </w:p>
    <w:p>
      <w:pPr>
        <w:rPr>
          <w:rFonts w:cs="Times New Roman"/>
        </w:rPr>
      </w:pPr>
      <w:r>
        <w:rPr>
          <w:rFonts w:cs="Times New Roman"/>
        </w:rPr>
        <w:t>For a long time, university administrative management has relied on closed, hierarchical information systems, whose decision-making processes exhibit pronounced black-box characteristics to external stakeholders, including students, parents, employers, and even government regulators. The root cause of the threefold governance dilemma arising from this closedness can be traced to a common essential question: whether the data held by universities is institutionally trustworthy, and to whom it belongs in terms of ownership. In other words, merely possessing data is insufficient for effective governance; only by establishing a set of governance instruments capable of guaranteeing the authenticity, integrity, and verifiability of data—while clearly defining ownership relationships—can the current management impasse be truly resolved.</w:t>
      </w:r>
    </w:p>
    <w:p>
      <w:pPr>
        <w:pStyle w:val="2"/>
        <w:spacing w:before="280" w:after="160"/>
        <w:rPr>
          <w:rFonts w:cs="Times New Roman"/>
        </w:rPr>
      </w:pPr>
      <w:r>
        <w:rPr>
          <w:rFonts w:eastAsia="黑体" w:cs="Times New Roman"/>
          <w:bCs/>
          <w:szCs w:val="28"/>
        </w:rPr>
        <w:t>1.3 Core Argument</w:t>
      </w:r>
    </w:p>
    <w:p>
      <w:pPr>
        <w:rPr>
          <w:rFonts w:cs="Times New Roman"/>
        </w:rPr>
      </w:pPr>
      <w:r>
        <w:rPr>
          <w:rFonts w:cs="Times New Roman"/>
        </w:rPr>
        <w:t>The central argument of this study is: to introduce the Trusted Data Asset as a novel infrastructure for higher education administration, thereby reconstructing administrative transparency and multi-party data sovereignty. A TDA is defined as a dataset whose provenance is traceable, content tamper-resistant, ownership verifiable, and which supports selective disclosure, all enabled by cryptographic technologies such as blockchain, digital signatures, and zero-knowledge proofs. TDA is not merely a technical implementation, but also an institutional arrangement that shifts the trustworthiness of data from reliance on the reputational trust of central institutions to reliance on the cryptographic trust grounded in mathematics and protocols.</w:t>
      </w:r>
    </w:p>
    <w:p>
      <w:pPr>
        <w:pStyle w:val="1"/>
        <w:rPr>
          <w:rFonts w:cs="Times New Roman"/>
        </w:rPr>
      </w:pPr>
      <w:r>
        <w:rPr>
          <w:rFonts w:cs="Times New Roman"/>
        </w:rPr>
        <w:t>2. Theoretical Framework</w:t>
      </w:r>
    </w:p>
    <w:p>
      <w:pPr>
        <w:pStyle w:val="2"/>
        <w:rPr>
          <w:rFonts w:cs="Times New Roman"/>
        </w:rPr>
      </w:pPr>
      <w:r>
        <w:rPr>
          <w:rFonts w:cs="Times New Roman"/>
        </w:rPr>
        <w:t>2.1 Review of Data Governance in Higher Education</w:t>
      </w:r>
    </w:p>
    <w:p>
      <w:pPr>
        <w:rPr>
          <w:rFonts w:cs="Times New Roman"/>
        </w:rPr>
      </w:pPr>
      <w:r>
        <w:rPr>
          <w:rFonts w:cs="Times New Roman"/>
        </w:rPr>
        <w:t>The academic consciousness of data governance in higher education originated in the early 21st century, with the large-scale advancement of university informatization.</w:t>
      </w:r>
    </w:p>
    <w:p>
      <w:pPr>
        <w:rPr>
          <w:rFonts w:cs="Times New Roman"/>
        </w:rPr>
      </w:pPr>
      <w:r>
        <w:rPr>
          <w:rFonts w:cs="Times New Roman"/>
        </w:rPr>
        <w:t>During the same period, domestic universities also began exploring integrated data platforms such as the “One-Sheet” (Yizhangbiao) system, consolidating fragmented faculty information, research outputs, and teaching records into a unified portal in order to enhance administrative efficiency and data reusability. However, they generally face three dilemmas: first, the issue of cross-system mutual trust in data remains unresolved, and version discrepancies of the same data across different platforms frequently give rise to disputes</w:t>
      </w:r>
      <w:r>
        <w:rPr>
          <w:rFonts w:cs="Times New Roman"/>
          <w:vertAlign w:val="superscript"/>
        </w:rPr>
        <w:t>[1]</w:t>
      </w:r>
      <w:r>
        <w:rPr>
          <w:rFonts w:cs="Times New Roman"/>
        </w:rPr>
        <w:t>; second, the ethical boundaries of data use are blurred—personal data are collected and analyzed on a massive scale, yet institutional arrangements for data ownership and usage authorization are largely absent</w:t>
      </w:r>
      <w:r>
        <w:rPr>
          <w:rFonts w:cs="Times New Roman"/>
          <w:vertAlign w:val="superscript"/>
        </w:rPr>
        <w:t>[2]</w:t>
      </w:r>
      <w:r>
        <w:rPr>
          <w:rFonts w:cs="Times New Roman"/>
        </w:rPr>
        <w:t>; third, there is a lack of accountability in algorithmic applications—when predictive models intervene in key decisions such as admissions, rewards, and penalties, their logic remains an opaque black box to students.</w:t>
      </w:r>
    </w:p>
    <w:p>
      <w:pPr>
        <w:rPr>
          <w:rFonts w:cs="Times New Roman"/>
        </w:rPr>
      </w:pPr>
      <w:r>
        <w:rPr>
          <w:rFonts w:cs="Times New Roman"/>
        </w:rPr>
        <w:t>The successive enactment of the Data Security Law and the Personal Information Protection Law has transformed universities from data users into data controllers with explicit compliance obligations, significantly intensifying institutional pressure on data governance</w:t>
      </w:r>
      <w:r>
        <w:rPr>
          <w:rFonts w:cs="Times New Roman"/>
          <w:vertAlign w:val="superscript"/>
        </w:rPr>
        <w:t>[3]</w:t>
      </w:r>
      <w:r>
        <w:rPr>
          <w:rFonts w:cs="Times New Roman"/>
        </w:rPr>
        <w:t>. Chu Hongqi</w:t>
      </w:r>
      <w:r>
        <w:rPr>
          <w:rFonts w:cs="Times New Roman"/>
          <w:vertAlign w:val="superscript"/>
        </w:rPr>
        <w:t>[4]</w:t>
      </w:r>
      <w:r>
        <w:rPr>
          <w:rFonts w:cs="Times New Roman"/>
        </w:rPr>
        <w:t xml:space="preserve"> (2021) argued that the core of modernizing educational governance lies in “drawing a panoramic map,” expanding the concept of governance into a systemic framework characterized by pluralistic actors, transparent rules, and accountable processes. Zhang Tianxue and Zhu Yilin</w:t>
      </w:r>
      <w:r>
        <w:rPr>
          <w:rFonts w:cs="Times New Roman"/>
          <w:vertAlign w:val="superscript"/>
        </w:rPr>
        <w:t>[5]</w:t>
      </w:r>
      <w:r>
        <w:rPr>
          <w:rFonts w:cs="Times New Roman"/>
        </w:rPr>
        <w:t xml:space="preserve"> (2021) further defined the modernization of educational governance as systemic action centered on institutional innovation and supported by a policy system, emphasizing the normalization of governance discourse and the operationalization of action frameworks. These two studies provide important theoretical foundations for this paper’s understanding of data assets from a governance perspective.</w:t>
      </w:r>
    </w:p>
    <w:p>
      <w:pPr>
        <w:rPr>
          <w:rFonts w:eastAsia="黑体" w:cs="Times New Roman"/>
          <w:bCs/>
          <w:szCs w:val="28"/>
        </w:rPr>
      </w:pPr>
      <w:r>
        <w:rPr>
          <w:rFonts w:cs="Times New Roman"/>
        </w:rPr>
        <w:t>The rise of blockchain technology and the concept of trusted data spaces has opened new technological pathways for university data governance. Li Jing, Zhu Yan, and Wang Han</w:t>
      </w:r>
      <w:r>
        <w:rPr>
          <w:rFonts w:cs="Times New Roman"/>
          <w:vertAlign w:val="superscript"/>
        </w:rPr>
        <w:t>[6]</w:t>
      </w:r>
      <w:r>
        <w:rPr>
          <w:rFonts w:cs="Times New Roman"/>
        </w:rPr>
        <w:t xml:space="preserve"> (2025) further extended the application of trusted data spaces to the digital publishing industry, revealing the mechanistic logic by which they enable data-ownership confirmation, value circulation, and ecosystem governance—offering important reference value for higher education contexts.</w:t>
      </w:r>
    </w:p>
    <w:p>
      <w:pPr>
        <w:pStyle w:val="2"/>
        <w:rPr>
          <w:rFonts w:cs="Times New Roman"/>
        </w:rPr>
      </w:pPr>
      <w:r>
        <w:rPr>
          <w:rFonts w:cs="Times New Roman"/>
        </w:rPr>
        <w:t>2.2 Conceptual Definition: The Threefold Connotation of Trusted Data Assets in Educational Contexts</w:t>
      </w:r>
    </w:p>
    <w:p>
      <w:pPr>
        <w:pStyle w:val="3"/>
        <w:rPr>
          <w:rFonts w:ascii="Times New Roman" w:cs="Times New Roman" w:hAnsi="Times New Roman"/>
        </w:rPr>
      </w:pPr>
      <w:r>
        <w:rPr>
          <w:rFonts w:ascii="Times New Roman" w:cs="Times New Roman" w:hAnsi="Times New Roman"/>
        </w:rPr>
        <w:t>1. Conceptual Definition</w:t>
      </w:r>
    </w:p>
    <w:p>
      <w:pPr>
        <w:rPr>
          <w:rFonts w:cs="Times New Roman"/>
        </w:rPr>
      </w:pPr>
      <w:r>
        <w:rPr>
          <w:rFonts w:cs="Times New Roman"/>
        </w:rPr>
        <w:t>This study defines a TDA as: in the higher education context, a dataset generated by a legally authorized issuer, cryptographically signed and anchored in a verifiable data registry, selectively disclosable by its holder, independently verifiable by third-party verifiers, and whose ownership relations and access rules are constrained by executable smart contracts.</w:t>
      </w:r>
    </w:p>
    <w:p>
      <w:pPr>
        <w:rPr>
          <w:rFonts w:cs="Times New Roman"/>
        </w:rPr>
      </w:pPr>
      <w:r>
        <w:rPr>
          <w:rFonts w:cs="Times New Roman"/>
        </w:rPr>
        <w:t>The core innovation of this definition lies in transforming trustworthiness from a social dependence on institutional reputation into a mathematical dependence on cryptographic protocols, and in shifting data ownership from the vague stipulations of institutional texts to the executable code of smart contracts</w:t>
      </w:r>
      <w:r>
        <w:rPr>
          <w:rFonts w:cs="Times New Roman"/>
          <w:vertAlign w:val="superscript"/>
        </w:rPr>
        <w:t>[7]</w:t>
      </w:r>
      <w:r>
        <w:rPr>
          <w:rFonts w:cs="Times New Roman"/>
        </w:rPr>
        <w:t>. In other words, TDA is not merely a technical implementation, but also an institutional arrangement that embeds governance rules into the data itself.</w:t>
      </w:r>
    </w:p>
    <w:p>
      <w:pPr>
        <w:pStyle w:val="3"/>
        <w:rPr>
          <w:rFonts w:ascii="Times New Roman" w:cs="Times New Roman" w:hAnsi="Times New Roman"/>
        </w:rPr>
      </w:pPr>
      <w:r>
        <w:rPr>
          <w:rFonts w:ascii="Times New Roman" w:cs="Times New Roman" w:hAnsi="Times New Roman"/>
        </w:rPr>
        <w:t>2. Technical Connotation: Four Trust Properties</w:t>
      </w:r>
    </w:p>
    <w:p>
      <w:pPr>
        <w:rPr>
          <w:rFonts w:cs="Times New Roman"/>
        </w:rPr>
      </w:pPr>
      <w:r>
        <w:rPr>
          <w:rFonts w:cs="Times New Roman"/>
        </w:rPr>
        <w:t>Authenticity: The provenance of data is traceable and the issuer is verifiable; asymmetric encryption and digital signature mechanisms ensure that data cannot be forged.</w:t>
      </w:r>
    </w:p>
    <w:p>
      <w:pPr>
        <w:rPr>
          <w:rFonts w:cs="Times New Roman"/>
        </w:rPr>
      </w:pPr>
      <w:r>
        <w:rPr>
          <w:rFonts w:cs="Times New Roman"/>
        </w:rPr>
        <w:t>Integrity: Once data content is anchored to a distributed ledger, any tampering is detected by cryptographic hash functions. This property resolves the long-standing problem of data inconsistency in university data governance: differing versions of the same business fact across different systems will be terminated by the uniqueness of on-chain records.</w:t>
      </w:r>
    </w:p>
    <w:p>
      <w:pPr>
        <w:rPr>
          <w:rFonts w:cs="Times New Roman"/>
        </w:rPr>
      </w:pPr>
      <w:r>
        <w:rPr>
          <w:rFonts w:cs="Times New Roman"/>
        </w:rPr>
        <w:t>Verifiability: Any authorized third party (employers, foreign universities, government agencies) can independently verify the authenticity and integrity of data without relying on the real-time response of the issuing institution. This upgrades the trust relationship between universities and stakeholders from subjective judgment based on reputation to objective verification based on cryptography.</w:t>
      </w:r>
    </w:p>
    <w:p>
      <w:pPr>
        <w:rPr>
          <w:rFonts w:cs="Times New Roman"/>
        </w:rPr>
      </w:pPr>
      <w:r>
        <w:rPr>
          <w:rFonts w:cs="Times New Roman"/>
        </w:rPr>
        <w:t>Accountability: Every access, modification, and sharing operation on the data leaves an immutable on-chain record, forming a complete operational audit chain. This property directly responds to Jiang Guangxue and Liu Fudong’s (2024) core appeal regarding the construction of governance mechanisms for university administrative data—namely, achieving compliant management and traceable accountability across the full data lifecycle through the refinement of data governance mechanisms</w:t>
      </w:r>
      <w:r>
        <w:rPr>
          <w:rFonts w:cs="Times New Roman"/>
          <w:vertAlign w:val="superscript"/>
        </w:rPr>
        <w:t>[8]</w:t>
      </w:r>
      <w:r>
        <w:rPr>
          <w:rFonts w:cs="Times New Roman"/>
        </w:rPr>
        <w:t>.</w:t>
      </w:r>
    </w:p>
    <w:p>
      <w:pPr>
        <w:pStyle w:val="3"/>
        <w:rPr>
          <w:rFonts w:ascii="Times New Roman" w:cs="Times New Roman" w:hAnsi="Times New Roman"/>
        </w:rPr>
      </w:pPr>
      <w:r>
        <w:rPr>
          <w:rFonts w:ascii="Times New Roman" w:cs="Times New Roman" w:hAnsi="Times New Roman"/>
        </w:rPr>
        <w:t>3. Institutional Connotation: Reshaping the Three-Tier Ownership Structure</w:t>
      </w:r>
    </w:p>
    <w:p>
      <w:pPr>
        <w:rPr>
          <w:rFonts w:cs="Times New Roman"/>
        </w:rPr>
      </w:pPr>
      <w:r>
        <w:rPr>
          <w:rFonts w:cs="Times New Roman"/>
        </w:rPr>
        <w:t>The institutional connotation of TDA is most concentrated in its fundamental reconstruction of data ownership relations in higher education. The TDA framework replaces the above unipolar structure with an “issuer–holder–verifier” triadic model, forming a three-tier ownership architecture. At the first tier, students and faculty—as data holders—manage their own learning credentials, academic achievements, and identity proofs through personal digital wallets, achieving active control over their personal data, in line with the principles of informed consent and minimum necessity established by the Personal Information Protection Law</w:t>
      </w:r>
      <w:r>
        <w:rPr>
          <w:rFonts w:cs="Times New Roman"/>
          <w:vertAlign w:val="superscript"/>
        </w:rPr>
        <w:t>[9]</w:t>
      </w:r>
      <w:r>
        <w:rPr>
          <w:rFonts w:cs="Times New Roman"/>
        </w:rPr>
        <w:t>. At the second tier, universities transform from data owners into trusted issuers, whose function is no longer the physical control of data but the cryptographic endorsement of data authenticity—university authority is thereby transformed from institutional reputation into signature credibility</w:t>
      </w:r>
      <w:r>
        <w:rPr>
          <w:rFonts w:cs="Times New Roman"/>
          <w:vertAlign w:val="superscript"/>
        </w:rPr>
        <w:t>[10]</w:t>
      </w:r>
      <w:r>
        <w:rPr>
          <w:rFonts w:cs="Times New Roman"/>
        </w:rPr>
        <w:t>. At the third tier, government regulators participate in the role of Trust Anchors, achieving indirect oversight by maintaining whitelists of authorized issuers and formulating mutual-recognition standards for credentials, thereby avoiding the direct aggregation of large amounts of personal data.</w:t>
      </w:r>
    </w:p>
    <w:p>
      <w:pPr>
        <w:pStyle w:val="2"/>
        <w:rPr>
          <w:rFonts w:cs="Times New Roman"/>
        </w:rPr>
      </w:pPr>
      <w:r>
        <w:rPr>
          <w:rFonts w:cs="Times New Roman"/>
        </w:rPr>
        <w:t>2.3 Governance Logic: Structural Reconstruction in the Context of Digital Transformation</w:t>
      </w:r>
    </w:p>
    <w:p>
      <w:pPr>
        <w:pStyle w:val="3"/>
        <w:rPr>
          <w:rFonts w:ascii="Times New Roman" w:cs="Times New Roman" w:hAnsi="Times New Roman"/>
        </w:rPr>
      </w:pPr>
      <w:r>
        <w:rPr>
          <w:rFonts w:ascii="Times New Roman" w:cs="Times New Roman" w:hAnsi="Times New Roman"/>
        </w:rPr>
        <w:t>1. Governance Pressures from Digital Transformation in Universities</w:t>
      </w:r>
    </w:p>
    <w:p>
      <w:pPr>
        <w:rPr>
          <w:rFonts w:cs="Times New Roman"/>
        </w:rPr>
      </w:pPr>
      <w:r>
        <w:rPr>
          <w:rFonts w:cs="Times New Roman"/>
        </w:rPr>
        <w:t>The digital transformation of higher education has placed unprecedented structural pressures on data governance. Shan Haipeng et al. (2026) demonstrate that the transformation of teaching models in the digital era involves not merely the substitution of technical tools, but a systemic reconstruction of subject relations in teaching, modes of knowledge production, and evaluation standards, which requires a correspondingly more adaptive and flexible data governance system</w:t>
      </w:r>
      <w:r>
        <w:rPr>
          <w:rFonts w:cs="Times New Roman"/>
          <w:vertAlign w:val="superscript"/>
        </w:rPr>
        <w:t>[11]</w:t>
      </w:r>
      <w:r>
        <w:rPr>
          <w:rFonts w:cs="Times New Roman"/>
        </w:rPr>
        <w:t>. In constructing evaluation standards for higher education digital transformation capability, Liu Jun et al. (2026) point out that data governance capacity has become a core dimension of the evaluation system, and its maturity directly affects transformation outcomes</w:t>
      </w:r>
      <w:r>
        <w:rPr>
          <w:rFonts w:cs="Times New Roman"/>
          <w:vertAlign w:val="superscript"/>
        </w:rPr>
        <w:t>[12]</w:t>
      </w:r>
      <w:r>
        <w:rPr>
          <w:rFonts w:cs="Times New Roman"/>
        </w:rPr>
        <w:t>. Zhang Zhenhuan and Wu Jilin’s (2026) systematic study of higher education digital transformation reveals a deeper contradiction: external drivers of digital transformation in universities (policy pressure, technology supply, competitive dynamics) are quite sufficient, but the lag of internal governance mechanisms—particularly unclear data ownership, closed management processes, and the absence of accountability mechanisms—is becoming the greatest bottleneck constraining the deepening of transformation</w:t>
      </w:r>
      <w:r>
        <w:rPr>
          <w:rFonts w:cs="Times New Roman"/>
          <w:vertAlign w:val="superscript"/>
        </w:rPr>
        <w:t>[13]</w:t>
      </w:r>
      <w:r>
        <w:rPr>
          <w:rFonts w:cs="Times New Roman"/>
        </w:rPr>
        <w:t xml:space="preserve">. </w:t>
      </w:r>
    </w:p>
    <w:p>
      <w:pPr>
        <w:rPr>
          <w:rFonts w:cs="Times New Roman"/>
        </w:rPr>
      </w:pPr>
      <w:r>
        <w:rPr>
          <w:rFonts w:cs="Times New Roman"/>
        </w:rPr>
        <w:t>At the level of concrete practical instruments, the “One-Sheet” platform is a typical leverage point through which Chinese universities have explored integrated data governance. Drawing on the One-Sheet platform construction experiences of multiple universities, Liu Yaqin et al. (2022) systematically map its implementation pathways in faculty data governance, demonstrating that integrated data platforms can significantly enhance data availability and administrative efficiency</w:t>
      </w:r>
      <w:r>
        <w:rPr>
          <w:rFonts w:cs="Times New Roman"/>
          <w:vertAlign w:val="superscript"/>
        </w:rPr>
        <w:t>[14]</w:t>
      </w:r>
      <w:r>
        <w:rPr>
          <w:rFonts w:cs="Times New Roman"/>
        </w:rPr>
        <w:t>. From a comparative perspective, Tao Mozhi’s (2022) comparative study of data governance at top UK universities reveals that British universities place greater emphasis on the checks-and-balances mechanism of data ethics committees and the institutional safeguarding of individual data rights, contrasting with the efficiency-oriented governance approach of Chinese universities, and providing an important external reference for this study</w:t>
      </w:r>
      <w:r>
        <w:rPr>
          <w:rFonts w:cs="Times New Roman"/>
          <w:vertAlign w:val="superscript"/>
        </w:rPr>
        <w:t>[15</w:t>
      </w:r>
      <w:r>
        <w:rPr>
          <w:rFonts w:cs="Times New Roman"/>
        </w:rPr>
        <w:t xml:space="preserve">]. </w:t>
      </w:r>
    </w:p>
    <w:p>
      <w:pPr>
        <w:pStyle w:val="3"/>
        <w:rPr>
          <w:rFonts w:ascii="Times New Roman" w:cs="Times New Roman" w:hAnsi="Times New Roman"/>
        </w:rPr>
      </w:pPr>
      <w:r>
        <w:rPr>
          <w:rFonts w:ascii="Times New Roman" w:cs="Times New Roman" w:hAnsi="Times New Roman"/>
        </w:rPr>
        <w:t>2. Theoretical Integration of the Governance Framework: A Three-Dimensional Analytical Model</w:t>
      </w:r>
    </w:p>
    <w:p>
      <w:pPr>
        <w:rPr>
          <w:rFonts w:cs="Times New Roman"/>
        </w:rPr>
      </w:pPr>
      <w:r>
        <w:rPr>
          <w:rFonts w:cs="Times New Roman"/>
        </w:rPr>
        <w:t>Building on a systematic review of the above literature, this study constructs an analytical model integrating three dimensions—technological foundation, institutional arrangement, and governance effectiveness—to encompass the theoretical positioning of TDA in higher education governance.</w:t>
      </w:r>
    </w:p>
    <w:p>
      <w:pPr>
        <w:rPr>
          <w:rFonts w:cs="Times New Roman"/>
        </w:rPr>
      </w:pPr>
      <w:r>
        <w:rPr>
          <w:rFonts w:cs="Times New Roman"/>
        </w:rPr>
        <w:t>The first dimension, the technological foundation layer, takes consortium blockchain, Verifiable Credentials (VC), Decentralized Identifiers (DID), and Zero-Knowledge Proofs (ZKP) as core technical components, providing the underlying support for the four trust properties of TDA: authenticity, integrity, verifiability, and accountability.</w:t>
      </w:r>
    </w:p>
    <w:p>
      <w:pPr>
        <w:rPr>
          <w:rFonts w:cs="Times New Roman"/>
        </w:rPr>
      </w:pPr>
      <w:r>
        <w:rPr>
          <w:rFonts w:cs="Times New Roman"/>
        </w:rPr>
        <w:t>The second dimension, the institutional arrangement layer, takes data ownership reconstruction (the “issuer–holder–verifier” triadic model), access control rules (automatic execution by smart contracts), and algorithmic accountability mechanisms (on-chain audit logs) as core institutional designs, transforming technical capabilities into governance rules.</w:t>
      </w:r>
    </w:p>
    <w:p>
      <w:pPr>
        <w:rPr>
          <w:rFonts w:cs="Times New Roman"/>
        </w:rPr>
      </w:pPr>
      <w:r>
        <w:rPr>
          <w:rFonts w:cs="Times New Roman"/>
        </w:rPr>
        <w:t>The third dimension, the governance effectiveness layer, takes administrative transparency (audit accessibility), scientific decision-making (data credibility), and the degree of sovereignty assurance (individual data autonomy) as core evaluation dimensions, measuring the implementation effectiveness of the TDA governance framework.</w:t>
      </w:r>
    </w:p>
    <w:p>
      <w:pPr>
        <w:rPr>
          <w:rFonts w:cs="Times New Roman"/>
        </w:rPr>
      </w:pPr>
      <w:r>
        <w:rPr>
          <w:rFonts w:cs="Times New Roman"/>
        </w:rPr>
        <w:t>The logical relationship among the three dimensions is as follows: the technological foundation layer provides the feasibility basis for the institutional arrangement layer; the institutional arrangement layer transforms technical capabilities into governance rules with normative binding force; and the governance effectiveness layer evaluates and provides feedback on the social value generated by the framework’s overall operation. This three-dimensional model will serve as the theoretical reference for analyzing the prototype system design and empirical results in subsequent chapters.</w:t>
      </w:r>
    </w:p>
    <w:p>
      <w:pPr>
        <w:rPr>
          <w:rFonts w:cs="Times New Roman"/>
        </w:rPr>
      </w:pPr>
    </w:p>
    <w:p>
      <w:pPr>
        <w:pStyle w:val="1"/>
        <w:rPr>
          <w:rFonts w:cs="Times New Roman"/>
        </w:rPr>
      </w:pPr>
      <w:r>
        <w:rPr>
          <w:rFonts w:cs="Times New Roman"/>
        </w:rPr>
        <w:t>3 Research Methodology</w:t>
      </w:r>
    </w:p>
    <w:p>
      <w:pPr>
        <w:pStyle w:val="2"/>
        <w:rPr>
          <w:rFonts w:cs="Times New Roman"/>
        </w:rPr>
      </w:pPr>
      <w:r>
        <w:rPr>
          <w:rFonts w:cs="Times New Roman"/>
        </w:rPr>
        <w:t>3.1 Design-Based Research</w:t>
      </w:r>
    </w:p>
    <w:p>
      <w:pPr>
        <w:rPr>
          <w:rFonts w:cs="Times New Roman"/>
        </w:rPr>
      </w:pPr>
      <w:r>
        <w:rPr>
          <w:rFonts w:cs="Times New Roman"/>
        </w:rPr>
        <w:t>This study adopts a mixed-methods approach combining Design-Based Research (DBR) with in-depth single-case analysis. The design process unfolds in four stages: In the first stage, based on a literature review and expert interviews, the theoretical elements of the TDA governance framework are established. In the second stage, relying on the digital reform project of a Double First-Class university (hereafter referred to as “X University”), a TDA management prototype system is built. In the third stage, the system is piloted in three typical application scenarios (ideological-political evaluation of courses, teaching quality monitoring, and academic integrity management), and operational data are collected. In the fourth stage, the effectiveness of the system is evaluated through comparative analysis and semi-structured interviews, and the framework is iteratively refined.</w:t>
      </w:r>
    </w:p>
    <w:p>
      <w:pPr>
        <w:pStyle w:val="2"/>
        <w:rPr>
          <w:rFonts w:cs="Times New Roman"/>
        </w:rPr>
      </w:pPr>
      <w:r>
        <w:rPr>
          <w:rFonts w:cs="Times New Roman"/>
        </w:rPr>
        <w:t>3.2 Prototype System Architecture</w:t>
      </w:r>
    </w:p>
    <w:p>
      <w:pPr>
        <w:rPr>
          <w:rFonts w:cs="Times New Roman"/>
        </w:rPr>
      </w:pPr>
      <w:r>
        <w:rPr>
          <w:rFonts w:cs="Times New Roman"/>
        </w:rPr>
        <w:t>The TDA prototype system adopts a three-layer architecture consisting of a foundational trusted ledger,  a middle-layer credential management module, and an application-layer governance contract. The foundational trusted ledger is based on a consortium chain architecture, employing Hyperledger Fabric as the underlying platform, with nodes jointly maintained by the university, the education authority, and third-party audit institutions; its consensus mechanism adopts a pluggable Proof-of-Authority scheme to balance performance and regulatability. The middle-layer credential management module follows the Verifiable Credentials Data Model specification issued by the W3C, supporting selective disclosure and zero-knowledge proofs to safeguard personal privacy. The application-layer governance contract encodes university administrative rules—such as student status management regulations, academic integrity codes, and teaching evaluation standards—as automatically executable smart contracts.</w:t>
      </w:r>
    </w:p>
    <w:p>
      <w:pPr>
        <w:rPr>
          <w:rFonts w:cs="Times New Roman"/>
        </w:rPr>
      </w:pPr>
      <w:r>
        <w:rPr>
          <w:rFonts w:cs="Times New Roman"/>
        </w:rPr>
        <w:t>In terms of system implementation details, this study follows the design principles of minimal disturbance and gradual integration. Rather than tearing down and rebuilding X University’s existing IT system, the prototype system serves as a governance middleware, exchanging data with the existing Student Information System (SIS), academic affairs system, research management system, financial system, and others via API gateways. When key administrative actions occur, the system automatically generates the corresponding credentials and anchors them to the consortium chain; historical data are gradually migrated through trusted batch processing. This design not only reduces implementation resistance but also reserves room for future evolution toward a more open public-chain system.</w:t>
      </w:r>
    </w:p>
    <w:p>
      <w:pPr>
        <w:pStyle w:val="2"/>
        <w:rPr>
          <w:rFonts w:cs="Times New Roman"/>
        </w:rPr>
      </w:pPr>
      <w:r>
        <w:rPr>
          <w:rFonts w:cs="Times New Roman"/>
        </w:rPr>
        <w:t>3.3 Data Sources and Analytical Methods</w:t>
      </w:r>
    </w:p>
    <w:p>
      <w:pPr>
        <w:rPr>
          <w:rFonts w:cs="Times New Roman"/>
        </w:rPr>
      </w:pPr>
      <w:r>
        <w:rPr>
          <w:rFonts w:cs="Times New Roman"/>
        </w:rPr>
        <w:t>Research data are drawn from three sources: first, system operation log data, covering approximately 120,000 transaction records across the three application scenarios at X University during the pilot period (September 2025 to May 2026); second, comparative data—traditional management data from the corresponding period before the system was deployed—used for comparative analysis; third, qualitative data, including semi-structured interviews with 12 university administrators and 20 faculty and student participants, as well as records from three focus group discussions. Data analysis adopts a combination of quantitative and qualitative methods: quantitative data are evaluated through descriptive statistics and paired-sample t-tests, among other techniques; qualitative data are analyzed using thematic analysis with NVivo software for coding.</w:t>
      </w:r>
    </w:p>
    <w:p>
      <w:pPr>
        <w:rPr>
          <w:rFonts w:cs="Times New Roman"/>
        </w:rPr>
      </w:pPr>
    </w:p>
    <w:p>
      <w:pPr>
        <w:pStyle w:val="1"/>
        <w:rPr>
          <w:rFonts w:cs="Times New Roman"/>
        </w:rPr>
      </w:pPr>
      <w:r>
        <w:rPr>
          <w:rFonts w:cs="Times New Roman"/>
        </w:rPr>
        <w:t>4 Results and Findings</w:t>
      </w:r>
    </w:p>
    <w:p>
      <w:pPr>
        <w:pStyle w:val="2"/>
        <w:spacing w:before="280" w:after="160"/>
        <w:rPr>
          <w:rFonts w:cs="Times New Roman"/>
        </w:rPr>
      </w:pPr>
      <w:r>
        <w:rPr>
          <w:rFonts w:eastAsia="黑体" w:cs="Times New Roman"/>
          <w:bCs/>
          <w:szCs w:val="28"/>
        </w:rPr>
        <w:t>4.1 Process Reshaping: Governance Optimization in Three Typical Scenarios</w:t>
      </w:r>
    </w:p>
    <w:p>
      <w:pPr>
        <w:pStyle w:val="3"/>
        <w:spacing w:before="200" w:after="120"/>
        <w:rPr>
          <w:rFonts w:ascii="Times New Roman" w:cs="Times New Roman" w:hAnsi="Times New Roman"/>
        </w:rPr>
      </w:pPr>
      <w:r>
        <w:rPr>
          <w:rFonts w:ascii="Times New Roman" w:eastAsia="黑体" w:cs="Times New Roman" w:hAnsi="Times New Roman"/>
          <w:bCs/>
        </w:rPr>
        <w:t>1. Ideological-Political Course Evaluation Scenario</w:t>
      </w:r>
    </w:p>
    <w:p>
      <w:pPr>
        <w:rPr>
          <w:rFonts w:cs="Times New Roman"/>
        </w:rPr>
      </w:pPr>
      <w:r>
        <w:rPr>
          <w:rFonts w:cs="Times New Roman"/>
        </w:rPr>
        <w:t>Ideological-political evaluation of courses is an important institutional innovation in Chinese higher education in recent years; its evaluation process involves multiple stakeholders, including instructors, students, supervisors, schools, and the university, with diverse data sources and inconsistent standards. During the pilot period, X University recorded key indicators of ideological-political evaluation elements (instructional design, classroom performance, student feedback, and effectiveness assessment) in the TDA system in the form of verifiable credentials; each evaluation operation was digitally signed by the corresponding subject and anchored to the consortium chain.</w:t>
      </w:r>
    </w:p>
    <w:p>
      <w:pPr>
        <w:rPr>
          <w:rFonts w:cs="Times New Roman"/>
        </w:rPr>
      </w:pPr>
      <w:r>
        <w:rPr>
          <w:rFonts w:cs="Times New Roman"/>
        </w:rPr>
        <w:t>Analytical results show that the consistency of evaluation data under the TDA model rose from 67.3% under the traditional model to 96.8%, and data dispute incidents decreased by approximately 82%. More importantly, because the evaluation process is auditable to all authorized subjects, instructors’ trust in evaluation outcomes (measured on a 5-point Likert scale) increased from a mean of 3.2 to 4.5 (paired-sample t-test, p&lt;0.001). This indicates that TDA not only enhances the objective authenticity of data but also reshapes the trust relationships among governance subjects.</w:t>
      </w:r>
    </w:p>
    <w:p>
      <w:pPr>
        <w:pStyle w:val="3"/>
        <w:spacing w:before="200" w:after="120"/>
        <w:rPr>
          <w:rFonts w:ascii="Times New Roman" w:cs="Times New Roman" w:hAnsi="Times New Roman"/>
        </w:rPr>
      </w:pPr>
      <w:r>
        <w:rPr>
          <w:rFonts w:ascii="Times New Roman" w:eastAsia="黑体" w:cs="Times New Roman" w:hAnsi="Times New Roman"/>
          <w:bCs/>
        </w:rPr>
        <w:t>2. Teaching Quality Monitoring Scenario</w:t>
      </w:r>
    </w:p>
    <w:p>
      <w:pPr>
        <w:rPr>
          <w:rFonts w:cs="Times New Roman"/>
        </w:rPr>
      </w:pPr>
      <w:r>
        <w:rPr>
          <w:rFonts w:cs="Times New Roman"/>
        </w:rPr>
        <w:t>Teaching quality monitoring involves a large amount of sensitive data, including student evaluations of teaching, peer review, and records of teaching incidents. Under the traditional model, such data are subject to two opposing risks: excessive centralization, which incurs the risk of privacy leakage, and excessive dispersion, which leads to the failure of monitoring. The TDA system reconciles this tension well through the principle of minimum necessary disclosure. For example, student evaluation information is submitted in the form of anonymized verifiable credentials—instructors can query aggregated scores but cannot trace individual evaluators; the school supervision committee may, under specific rules (e.g., upon receiving complaints), apply to query the original records, and the application itself is also recorded on the ledger, thereby achieving the bidirectional accountability of “the monitor is also monitored.”</w:t>
      </w:r>
    </w:p>
    <w:p>
      <w:pPr>
        <w:rPr>
          <w:rFonts w:cs="Times New Roman"/>
        </w:rPr>
      </w:pPr>
      <w:r>
        <w:rPr>
          <w:rFonts w:cs="Times New Roman"/>
        </w:rPr>
        <w:t>Data show that the monitoring coverage rate in this scenario rose from approximately 60% (sample-based supervision) to 100% (full-record tracing), while the number of privacy-related complaints from faculty and students actually decreased by 53%. This seemingly paradoxical outcome precisely confirms the governance-logic advantage of TDA: “transparent yet private, monitored yet accountable.”</w:t>
      </w:r>
    </w:p>
    <w:p>
      <w:pPr>
        <w:pStyle w:val="3"/>
        <w:spacing w:before="200" w:after="120"/>
        <w:rPr>
          <w:rFonts w:ascii="Times New Roman" w:cs="Times New Roman" w:hAnsi="Times New Roman"/>
        </w:rPr>
      </w:pPr>
      <w:r>
        <w:rPr>
          <w:rFonts w:ascii="Times New Roman" w:eastAsia="黑体" w:cs="Times New Roman" w:hAnsi="Times New Roman"/>
          <w:bCs/>
        </w:rPr>
        <w:t>3. Academic Integrity Management Scenario</w:t>
      </w:r>
    </w:p>
    <w:p>
      <w:pPr>
        <w:rPr>
          <w:rFonts w:cs="Times New Roman"/>
        </w:rPr>
      </w:pPr>
      <w:r>
        <w:rPr>
          <w:rFonts w:cs="Times New Roman"/>
        </w:rPr>
        <w:t>Academic integrity is the high-voltage line of university governance and the area most prone to controversy. The TDA system anchors key nodes such as paper submission, plagiarism reports, peer review comments, and revision records to the ledger via timestamps, forming a tamper-proof chain of evidence. During the pilot period, X University handled 5 academic misconduct appeal cases, 4 of which were rapidly adjudicated with the help of the TDA evidence chain (the average handling cycle shortened from 45 days to 11 days), while 1 case, involving historical data predating the system’s deployment, still followed the traditional procedure.</w:t>
      </w:r>
    </w:p>
    <w:p>
      <w:pPr>
        <w:spacing w:before="60" w:after="240"/>
        <w:jc w:val="center"/>
        <w:rPr>
          <w:rFonts w:cs="Times New Roman"/>
        </w:rPr>
      </w:pPr>
      <w:r>
        <w:rPr>
          <w:rFonts w:cs="Times New Roman"/>
        </w:rPr>
        <w:drawing>
          <wp:inline distT="0" distB="0" distL="0" distR="0">
            <wp:extent cx="5246017" cy="2964180"/>
            <wp:effectExtent l="0" t="0" r="0" b="0"/>
            <wp:docPr id="2" name="图片 1"/>
            <wp:cNvGraphicFramePr>
              <a:graphicFrameLocks noChangeAspect="1"/>
            </wp:cNvGraphicFramePr>
            <a:graphic>
              <a:graphicData uri="http://schemas.openxmlformats.org/drawingml/2006/picture">
                <pic:pic>
                  <pic:nvPicPr>
                    <pic:cNvPr id="2" name="图片 1 2"/>
                    <pic:cNvPicPr/>
                  </pic:nvPicPr>
                  <pic:blipFill>
                    <a:blip r:embed="rId2"/>
                    <a:stretch>
                      <a:fillRect/>
                    </a:stretch>
                  </pic:blipFill>
                  <pic:spPr>
                    <a:xfrm rot="0">
                      <a:off x="0" y="0"/>
                      <a:ext cx="5246017" cy="2964180"/>
                    </a:xfrm>
                    <a:prstGeom prst="rect"/>
                    <a:noFill/>
                    <a:ln w="9525" cmpd="sng" cap="flat">
                      <a:noFill/>
                      <a:prstDash val="solid"/>
                      <a:miter/>
                    </a:ln>
                  </pic:spPr>
                </pic:pic>
              </a:graphicData>
            </a:graphic>
          </wp:inline>
        </w:drawing>
      </w:r>
      <w:r>
        <w:rPr>
          <w:rFonts w:cs="Times New Roman"/>
          <w:b/>
          <w:bCs/>
          <w:sz w:val="22"/>
          <w:szCs w:val="22"/>
        </w:rPr>
        <w:t>Figure 1  Comparison of Governance Effectiveness Between the Traditional Model and the TDA Model in Three Typical Scenarios</w:t>
      </w:r>
    </w:p>
    <w:p>
      <w:pPr>
        <w:rPr>
          <w:rFonts w:cs="Times New Roman"/>
        </w:rPr>
      </w:pPr>
    </w:p>
    <w:p>
      <w:pPr>
        <w:pStyle w:val="2"/>
        <w:rPr>
          <w:rFonts w:cs="Times New Roman"/>
        </w:rPr>
      </w:pPr>
      <w:r>
        <w:rPr>
          <w:rFonts w:cs="Times New Roman"/>
        </w:rPr>
        <w:t>4.2 Trust Reconstruction: Empirical Improvements in Audit Costs and Decision-Making Scientificity</w:t>
      </w:r>
    </w:p>
    <w:p>
      <w:pPr>
        <w:rPr>
          <w:rFonts w:cs="Times New Roman"/>
        </w:rPr>
      </w:pPr>
      <w:r>
        <w:rPr>
          <w:rFonts w:cs="Times New Roman"/>
        </w:rPr>
        <w:t>This study finds that the TDA system significantly reduces the marginal cost of administrative audits at universities. Traditional audits rely on manual sampling and cross-checking, requiring auditors to spend considerable time verifying receipts, interviewing relevant personnel, and reconciling data across different systems. Under the TDA model, since every key administrative action has already left an on-chain trace, auditors can directly obtain the complete evidence chain through query interfaces, enabling T+0 real-time auditing.</w:t>
      </w:r>
    </w:p>
    <w:p>
      <w:pPr>
        <w:rPr>
          <w:rFonts w:cs="Times New Roman"/>
        </w:rPr>
      </w:pPr>
      <w:r>
        <w:rPr>
          <w:rFonts w:cs="Times New Roman"/>
        </w:rPr>
        <w:t>Comparative data show that for the three categories of audit projects involving TDA at X University in the 2024–2025 academic year (research-grant audit, student-financial-aid fund audit, and teaching-equipment procurement audit), the average audit cycle was shortened from the traditional 58 days to 34 days—a reduction of approximately 41.4%. The number of anomalies detected through auditing did not decrease but actually increased (from an average of 3.2 per audit to 5.7), yet 67% of these anomalies were early-warning anomalies (i.e., identified by the system before any actual loss occurred), reflecting a paradigm shift from ex post auditing to real-time supervision.</w:t>
      </w:r>
    </w:p>
    <w:p>
      <w:pPr>
        <w:rPr>
          <w:rFonts w:cs="Times New Roman"/>
        </w:rPr>
      </w:pPr>
      <w:r>
        <w:rPr>
          <w:rFonts w:cs="Times New Roman"/>
        </w:rPr>
        <w:t>In terms of decision-making scientificity, the TDA system improves the quality of evidence underpinning university strategic decisions by providing trustworthy foundational data. For example, in the 2025 mid-term evaluation of X University’s Double First-Class development, university administrators based their decisions on teaching, research, and social-service data provided by TDA, reducing the decision-making cost (measured by decision duration) from an average of 12 weeks to 7 weeks, while the rate of decision disputes (the proportion of appeals to higher authorities) fell from 15.8% to 4.2%.</w:t>
      </w:r>
    </w:p>
    <w:p>
      <w:pPr>
        <w:rPr>
          <w:rFonts w:cs="Times New Roman"/>
        </w:rPr>
      </w:pPr>
    </w:p>
    <w:p>
      <w:pPr>
        <w:spacing w:before="60" w:after="240"/>
        <w:jc w:val="center"/>
        <w:rPr>
          <w:rFonts w:cs="Times New Roman"/>
        </w:rPr>
      </w:pPr>
      <w:r>
        <w:rPr>
          <w:rFonts w:cs="Times New Roman"/>
          <w:b/>
          <w:bCs/>
          <w:sz w:val="22"/>
          <w:szCs w:val="22"/>
        </w:rPr>
        <w:t>Table 1  Comparison of Key Governance Indicators at X University Before and After TDA Implementation</w:t>
      </w:r>
    </w:p>
    <w:tbl>
      <w:tblPr>
        <w:jc w:val="left"/>
        <w:tblW w:w="9360" w:type="dxa"/>
        <w:tblBorders>
          <w:top w:val="single" w:sz="4" w:space="0" w:color="auto"/>
          <w:left w:val="none" w:sz="0" w:space="0" w:color="auto"/>
          <w:bottom w:val="single" w:sz="4" w:space="0" w:color="auto"/>
          <w:right w:val="none" w:sz="0" w:space="0" w:color="auto"/>
        </w:tblBorders>
        <w:tblCellMar>
          <w:top w:w="0" w:type="dxa"/>
          <w:left w:w="10" w:type="dxa"/>
          <w:bottom w:w="0" w:type="dxa"/>
          <w:right w:w="10" w:type="dxa"/>
        </w:tblCellMar>
        <w:tblLook w:val="0000" w:firstRow="0" w:lastRow="0" w:firstColumn="0" w:lastColumn="0" w:noHBand="0" w:noVBand="0"/>
      </w:tblPr>
      <w:tblGrid>
        <w:gridCol w:w="3200"/>
        <w:gridCol w:w="2080"/>
        <w:gridCol w:w="2080"/>
        <w:gridCol w:w="2000"/>
      </w:tblGrid>
      <w:tr>
        <w:trPr>
          <w:tblHeader/>
        </w:trPr>
        <w:tc>
          <w:tcPr>
            <w:tcW w:w="3200" w:type="dxa"/>
            <w:tcBorders>
              <w:top w:val="single" w:sz="4" w:space="0" w:color="auto"/>
              <w:bottom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Governance Indicator</w:t>
            </w:r>
          </w:p>
        </w:tc>
        <w:tc>
          <w:tcPr>
            <w:tcW w:w="2080" w:type="dxa"/>
            <w:tcBorders>
              <w:top w:val="single" w:sz="4" w:space="0" w:color="auto"/>
              <w:bottom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Traditional Model</w:t>
            </w:r>
          </w:p>
          <w:p>
            <w:pPr>
              <w:rPr>
                <w:rFonts w:cs="Times New Roman"/>
                <w:sz w:val="18"/>
                <w:szCs w:val="18"/>
              </w:rPr>
            </w:pPr>
            <w:r>
              <w:rPr>
                <w:rFonts w:cs="Times New Roman"/>
                <w:sz w:val="18"/>
                <w:szCs w:val="18"/>
              </w:rPr>
              <w:t xml:space="preserve"> (2024 Academic Year)</w:t>
            </w:r>
          </w:p>
        </w:tc>
        <w:tc>
          <w:tcPr>
            <w:tcW w:w="2080" w:type="dxa"/>
            <w:tcBorders>
              <w:top w:val="single" w:sz="4" w:space="0" w:color="auto"/>
              <w:bottom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TDA Model</w:t>
            </w:r>
          </w:p>
          <w:p>
            <w:pPr>
              <w:rPr>
                <w:rFonts w:cs="Times New Roman"/>
                <w:sz w:val="18"/>
                <w:szCs w:val="18"/>
              </w:rPr>
            </w:pPr>
            <w:r>
              <w:rPr>
                <w:rFonts w:cs="Times New Roman"/>
                <w:sz w:val="18"/>
                <w:szCs w:val="18"/>
              </w:rPr>
              <w:t xml:space="preserve"> (2025 Academic Year)</w:t>
            </w:r>
          </w:p>
        </w:tc>
        <w:tc>
          <w:tcPr>
            <w:tcW w:w="2000" w:type="dxa"/>
            <w:tcBorders>
              <w:top w:val="single" w:sz="4" w:space="0" w:color="auto"/>
              <w:bottom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Change</w:t>
            </w:r>
          </w:p>
        </w:tc>
      </w:tr>
      <w:tr>
        <w:tc>
          <w:tcPr>
            <w:tcW w:w="3200" w:type="dxa"/>
            <w:tcBorders>
              <w:top w:val="single" w:sz="4" w:space="0" w:color="auto"/>
            </w:tcBorders>
            <w:tcMar>
              <w:top w:w="80" w:type="dxa"/>
              <w:left w:w="120" w:type="dxa"/>
              <w:bottom w:w="80" w:type="dxa"/>
              <w:right w:w="120" w:type="dxa"/>
            </w:tcMar>
          </w:tcPr>
          <w:p>
            <w:pPr>
              <w:ind w:firstLineChars="0" w:firstLine="0"/>
              <w:rPr>
                <w:rFonts w:cs="Times New Roman"/>
                <w:sz w:val="18"/>
                <w:szCs w:val="18"/>
              </w:rPr>
            </w:pPr>
            <w:r>
              <w:rPr>
                <w:rFonts w:cs="Times New Roman"/>
                <w:sz w:val="18"/>
                <w:szCs w:val="18"/>
              </w:rPr>
              <w:t>Data Consistency Rate (Ideological-Political Courses)</w:t>
            </w:r>
          </w:p>
        </w:tc>
        <w:tc>
          <w:tcPr>
            <w:tcW w:w="2080" w:type="dxa"/>
            <w:tcBorders>
              <w:top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67.3%</w:t>
            </w:r>
          </w:p>
        </w:tc>
        <w:tc>
          <w:tcPr>
            <w:tcW w:w="2080" w:type="dxa"/>
            <w:tcBorders>
              <w:top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96.8%</w:t>
            </w:r>
          </w:p>
        </w:tc>
        <w:tc>
          <w:tcPr>
            <w:tcW w:w="2000" w:type="dxa"/>
            <w:tcBorders>
              <w:top w:val="single" w:sz="4" w:space="0" w:color="auto"/>
            </w:tcBorders>
            <w:tcMar>
              <w:top w:w="80" w:type="dxa"/>
              <w:left w:w="120" w:type="dxa"/>
              <w:bottom w:w="80" w:type="dxa"/>
              <w:right w:w="120" w:type="dxa"/>
            </w:tcMar>
          </w:tcPr>
          <w:p>
            <w:pPr>
              <w:rPr>
                <w:rFonts w:cs="Times New Roman"/>
                <w:sz w:val="18"/>
                <w:szCs w:val="18"/>
              </w:rPr>
            </w:pPr>
            <w:r>
              <w:rPr>
                <w:rFonts w:cs="Times New Roman"/>
                <w:sz w:val="18"/>
                <w:szCs w:val="18"/>
              </w:rPr>
              <w:t>+29.5 percentage points</w:t>
            </w:r>
          </w:p>
        </w:tc>
      </w:tr>
      <w:tr>
        <w:tc>
          <w:tcPr>
            <w:tcW w:w="3200" w:type="dxa"/>
            <w:tcMar>
              <w:top w:w="80" w:type="dxa"/>
              <w:left w:w="120" w:type="dxa"/>
              <w:bottom w:w="80" w:type="dxa"/>
              <w:right w:w="120" w:type="dxa"/>
            </w:tcMar>
          </w:tcPr>
          <w:p>
            <w:pPr>
              <w:ind w:firstLineChars="0" w:firstLine="0"/>
              <w:rPr>
                <w:rFonts w:cs="Times New Roman"/>
                <w:sz w:val="18"/>
                <w:szCs w:val="18"/>
              </w:rPr>
            </w:pPr>
            <w:r>
              <w:rPr>
                <w:rFonts w:cs="Times New Roman"/>
                <w:sz w:val="18"/>
                <w:szCs w:val="18"/>
              </w:rPr>
              <w:t>Teaching Monitoring Coverage Rate</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Approx. 60%</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100%</w:t>
            </w:r>
          </w:p>
        </w:tc>
        <w:tc>
          <w:tcPr>
            <w:tcW w:w="2000" w:type="dxa"/>
            <w:tcMar>
              <w:top w:w="80" w:type="dxa"/>
              <w:left w:w="120" w:type="dxa"/>
              <w:bottom w:w="80" w:type="dxa"/>
              <w:right w:w="120" w:type="dxa"/>
            </w:tcMar>
          </w:tcPr>
          <w:p>
            <w:pPr>
              <w:rPr>
                <w:rFonts w:cs="Times New Roman"/>
                <w:sz w:val="18"/>
                <w:szCs w:val="18"/>
              </w:rPr>
            </w:pPr>
            <w:r>
              <w:rPr>
                <w:rFonts w:cs="Times New Roman"/>
                <w:sz w:val="18"/>
                <w:szCs w:val="18"/>
              </w:rPr>
              <w:t>+40 percentage points</w:t>
            </w:r>
          </w:p>
        </w:tc>
      </w:tr>
      <w:tr>
        <w:tc>
          <w:tcPr>
            <w:tcW w:w="3200" w:type="dxa"/>
            <w:tcMar>
              <w:top w:w="80" w:type="dxa"/>
              <w:left w:w="120" w:type="dxa"/>
              <w:bottom w:w="80" w:type="dxa"/>
              <w:right w:w="120" w:type="dxa"/>
            </w:tcMar>
          </w:tcPr>
          <w:p>
            <w:pPr>
              <w:ind w:firstLineChars="0" w:firstLine="0"/>
              <w:rPr>
                <w:rFonts w:cs="Times New Roman"/>
                <w:sz w:val="18"/>
                <w:szCs w:val="18"/>
              </w:rPr>
            </w:pPr>
            <w:r>
              <w:rPr>
                <w:rFonts w:cs="Times New Roman"/>
                <w:sz w:val="18"/>
                <w:szCs w:val="18"/>
              </w:rPr>
              <w:t>Avg. Handling Cycle for Academic Misconduct Cases</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45 days</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11 days</w:t>
            </w:r>
          </w:p>
        </w:tc>
        <w:tc>
          <w:tcPr>
            <w:tcW w:w="2000" w:type="dxa"/>
            <w:tcMar>
              <w:top w:w="80" w:type="dxa"/>
              <w:left w:w="120" w:type="dxa"/>
              <w:bottom w:w="80" w:type="dxa"/>
              <w:right w:w="120" w:type="dxa"/>
            </w:tcMar>
          </w:tcPr>
          <w:p>
            <w:pPr>
              <w:rPr>
                <w:rFonts w:cs="Times New Roman"/>
                <w:sz w:val="18"/>
                <w:szCs w:val="18"/>
              </w:rPr>
            </w:pPr>
            <w:r>
              <w:rPr>
                <w:rFonts w:cs="Times New Roman"/>
                <w:sz w:val="18"/>
                <w:szCs w:val="18"/>
              </w:rPr>
              <w:t>-75.6%</w:t>
            </w:r>
          </w:p>
        </w:tc>
      </w:tr>
      <w:tr>
        <w:tc>
          <w:tcPr>
            <w:tcW w:w="3200" w:type="dxa"/>
            <w:tcMar>
              <w:top w:w="80" w:type="dxa"/>
              <w:left w:w="120" w:type="dxa"/>
              <w:bottom w:w="80" w:type="dxa"/>
              <w:right w:w="120" w:type="dxa"/>
            </w:tcMar>
          </w:tcPr>
          <w:p>
            <w:pPr>
              <w:ind w:firstLineChars="0" w:firstLine="0"/>
              <w:rPr>
                <w:rFonts w:cs="Times New Roman"/>
                <w:sz w:val="18"/>
                <w:szCs w:val="18"/>
              </w:rPr>
            </w:pPr>
            <w:r>
              <w:rPr>
                <w:rFonts w:cs="Times New Roman"/>
                <w:sz w:val="18"/>
                <w:szCs w:val="18"/>
              </w:rPr>
              <w:t>Average Administrative Audit Cycle</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58 days</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34 days</w:t>
            </w:r>
          </w:p>
        </w:tc>
        <w:tc>
          <w:tcPr>
            <w:tcW w:w="2000" w:type="dxa"/>
            <w:tcMar>
              <w:top w:w="80" w:type="dxa"/>
              <w:left w:w="120" w:type="dxa"/>
              <w:bottom w:w="80" w:type="dxa"/>
              <w:right w:w="120" w:type="dxa"/>
            </w:tcMar>
          </w:tcPr>
          <w:p>
            <w:pPr>
              <w:rPr>
                <w:rFonts w:cs="Times New Roman"/>
                <w:sz w:val="18"/>
                <w:szCs w:val="18"/>
              </w:rPr>
            </w:pPr>
            <w:r>
              <w:rPr>
                <w:rFonts w:cs="Times New Roman"/>
                <w:sz w:val="18"/>
                <w:szCs w:val="18"/>
              </w:rPr>
              <w:t>-41.4%</w:t>
            </w:r>
          </w:p>
        </w:tc>
      </w:tr>
      <w:tr>
        <w:tc>
          <w:tcPr>
            <w:tcW w:w="3200" w:type="dxa"/>
            <w:tcMar>
              <w:top w:w="80" w:type="dxa"/>
              <w:left w:w="120" w:type="dxa"/>
              <w:bottom w:w="80" w:type="dxa"/>
              <w:right w:w="120" w:type="dxa"/>
            </w:tcMar>
          </w:tcPr>
          <w:p>
            <w:pPr>
              <w:ind w:firstLineChars="0" w:firstLine="0"/>
              <w:rPr>
                <w:rFonts w:cs="Times New Roman"/>
                <w:sz w:val="18"/>
                <w:szCs w:val="18"/>
              </w:rPr>
            </w:pPr>
            <w:r>
              <w:rPr>
                <w:rFonts w:cs="Times New Roman"/>
                <w:sz w:val="18"/>
                <w:szCs w:val="18"/>
              </w:rPr>
              <w:t>Number of Faculty/Student Privacy-Related Complaints</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Baseline (100%)</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47%</w:t>
            </w:r>
          </w:p>
        </w:tc>
        <w:tc>
          <w:tcPr>
            <w:tcW w:w="2000" w:type="dxa"/>
            <w:tcMar>
              <w:top w:w="80" w:type="dxa"/>
              <w:left w:w="120" w:type="dxa"/>
              <w:bottom w:w="80" w:type="dxa"/>
              <w:right w:w="120" w:type="dxa"/>
            </w:tcMar>
          </w:tcPr>
          <w:p>
            <w:pPr>
              <w:rPr>
                <w:rFonts w:cs="Times New Roman"/>
                <w:sz w:val="18"/>
                <w:szCs w:val="18"/>
              </w:rPr>
            </w:pPr>
            <w:r>
              <w:rPr>
                <w:rFonts w:cs="Times New Roman"/>
                <w:sz w:val="18"/>
                <w:szCs w:val="18"/>
              </w:rPr>
              <w:t>-53%</w:t>
            </w:r>
          </w:p>
        </w:tc>
      </w:tr>
      <w:tr>
        <w:tc>
          <w:tcPr>
            <w:tcW w:w="3200" w:type="dxa"/>
            <w:tcMar>
              <w:top w:w="80" w:type="dxa"/>
              <w:left w:w="120" w:type="dxa"/>
              <w:bottom w:w="80" w:type="dxa"/>
              <w:right w:w="120" w:type="dxa"/>
            </w:tcMar>
          </w:tcPr>
          <w:p>
            <w:pPr>
              <w:ind w:firstLineChars="111" w:firstLine="200"/>
              <w:rPr>
                <w:rFonts w:cs="Times New Roman"/>
                <w:sz w:val="18"/>
                <w:szCs w:val="18"/>
              </w:rPr>
            </w:pPr>
            <w:r>
              <w:rPr>
                <w:rFonts w:cs="Times New Roman"/>
                <w:sz w:val="18"/>
                <w:szCs w:val="18"/>
              </w:rPr>
              <w:t>Strategic Decision Dispute Rate</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15.8%</w:t>
            </w:r>
          </w:p>
        </w:tc>
        <w:tc>
          <w:tcPr>
            <w:tcW w:w="2080" w:type="dxa"/>
            <w:tcMar>
              <w:top w:w="80" w:type="dxa"/>
              <w:left w:w="120" w:type="dxa"/>
              <w:bottom w:w="80" w:type="dxa"/>
              <w:right w:w="120" w:type="dxa"/>
            </w:tcMar>
          </w:tcPr>
          <w:p>
            <w:pPr>
              <w:rPr>
                <w:rFonts w:cs="Times New Roman"/>
                <w:sz w:val="18"/>
                <w:szCs w:val="18"/>
              </w:rPr>
            </w:pPr>
            <w:r>
              <w:rPr>
                <w:rFonts w:cs="Times New Roman"/>
                <w:sz w:val="18"/>
                <w:szCs w:val="18"/>
              </w:rPr>
              <w:t>4.2%</w:t>
            </w:r>
          </w:p>
        </w:tc>
        <w:tc>
          <w:tcPr>
            <w:tcW w:w="2000" w:type="dxa"/>
            <w:tcMar>
              <w:top w:w="80" w:type="dxa"/>
              <w:left w:w="120" w:type="dxa"/>
              <w:bottom w:w="80" w:type="dxa"/>
              <w:right w:w="120" w:type="dxa"/>
            </w:tcMar>
          </w:tcPr>
          <w:p>
            <w:pPr>
              <w:rPr>
                <w:rFonts w:cs="Times New Roman"/>
                <w:sz w:val="18"/>
                <w:szCs w:val="18"/>
              </w:rPr>
            </w:pPr>
            <w:r>
              <w:rPr>
                <w:rFonts w:cs="Times New Roman"/>
                <w:sz w:val="18"/>
                <w:szCs w:val="18"/>
              </w:rPr>
              <w:t>-11.6 percentage points</w:t>
            </w:r>
          </w:p>
        </w:tc>
      </w:tr>
    </w:tbl>
    <w:p>
      <w:pPr>
        <w:rPr>
          <w:rFonts w:cs="Times New Roman"/>
        </w:rPr>
      </w:pPr>
    </w:p>
    <w:p>
      <w:pPr>
        <w:pStyle w:val="2"/>
        <w:rPr>
          <w:rFonts w:cs="Times New Roman"/>
        </w:rPr>
      </w:pPr>
      <w:r>
        <w:rPr>
          <w:rFonts w:cs="Times New Roman"/>
        </w:rPr>
        <w:t>4.3 Sovereignty Devolution: Empirical Manifestations of Student and Faculty Data Autonomy</w:t>
      </w:r>
    </w:p>
    <w:p>
      <w:pPr>
        <w:rPr>
          <w:rFonts w:cs="Times New Roman"/>
        </w:rPr>
      </w:pPr>
      <w:r>
        <w:rPr>
          <w:rFonts w:cs="Times New Roman"/>
        </w:rPr>
        <w:t>Beyond improvements in administrative efficiency, the TDA system has also given rise to a phenomenon of greater theoretical significance: the intra-organizational devolution of data sovereignty. During the pilot period, approximately 8,300 students at X University activated personal digital wallets to manage their own learning credentials, skill certificates, and scholarship records. Interview data show that 78.4% of surveyed students reported feeling a stronger sense of control over their personal data, and 61.2% of students had actively used TDA credentials in job-seeking, further-education, or overseas-exchange scenarios—compared with traditional paper certificates, credential verification time was reduced from an average of 2–3 working days to a matter of seconds.</w:t>
      </w:r>
    </w:p>
    <w:p>
      <w:pPr>
        <w:rPr>
          <w:rFonts w:cs="Times New Roman"/>
        </w:rPr>
      </w:pPr>
      <w:r>
        <w:rPr>
          <w:rFonts w:cs="Times New Roman"/>
        </w:rPr>
        <w:t>For faculty, the significance of the TDA system lies in the fact that multi-dimensional academic identity information—such as academic output, teaching contributions, and social service—can be directly verified by third parties (e.g., research funding agencies, international academic communities) in a verifiable manner, thereby enhancing the efficiency of academic mobility and reducing systemic risks arising from credential fraud or résumé embellishment. This sovereignty-devolution effect makes higher education data governance no longer a unilateral technological investment by universities, but rather an institutional dividend benefiting multiple stakeholders.</w:t>
      </w:r>
    </w:p>
    <w:p>
      <w:pPr>
        <w:rPr>
          <w:rFonts w:cs="Times New Roman"/>
        </w:rPr>
      </w:pPr>
      <w:r>
        <w:rPr>
          <w:rFonts w:cs="Times New Roman"/>
        </w:rPr>
        <w:t>Further qualitative analysis indicates that students perceive the increased autonomy brought by TDA at multiple levels: at the technical-operational level, they perceive the convenience of credential invocation; at the power-relations level, they recognize their transformation from data objects to data subjects; and at the ethical-value level, they begin to reflect on what kinds of protection personal data should receive and what kinds of reasonable use should be permitted. The opening of this chain of awareness provides a promising practical field for universities to cultivate digital citizenship, and resonates empirically with the recent vision of “personal data spaces” proposed by international scholars.</w:t>
      </w:r>
    </w:p>
    <w:p>
      <w:pPr>
        <w:rPr>
          <w:rFonts w:cs="Times New Roman"/>
        </w:rPr>
      </w:pPr>
    </w:p>
    <w:p>
      <w:pPr>
        <w:pStyle w:val="1"/>
        <w:rPr>
          <w:rFonts w:cs="Times New Roman"/>
        </w:rPr>
      </w:pPr>
      <w:r>
        <w:rPr>
          <w:rFonts w:cs="Times New Roman"/>
        </w:rPr>
        <w:t>5 Discussion</w:t>
      </w:r>
    </w:p>
    <w:p>
      <w:pPr>
        <w:pStyle w:val="2"/>
        <w:rPr>
          <w:rFonts w:cs="Times New Roman"/>
        </w:rPr>
      </w:pPr>
      <w:r>
        <w:rPr>
          <w:rFonts w:cs="Times New Roman"/>
        </w:rPr>
        <w:t>5.1 Ethical Reflection: Privacy and Academic Freedom Under Technological Governance</w:t>
      </w:r>
    </w:p>
    <w:p>
      <w:pPr>
        <w:rPr>
          <w:rFonts w:cs="Times New Roman"/>
        </w:rPr>
      </w:pPr>
      <w:r>
        <w:rPr>
          <w:rFonts w:cs="Times New Roman"/>
        </w:rPr>
        <w:t>Although the TDA governance framework significantly enhances data credibility and transparency, it also brings new ethical challenges.First is the anxiety of being recorded. In traditional university management, many teaching interactions and academic exchanges are characterized by informality and trial-and-error, whereas TDA’s full-record traceability may suppress this spontaneity, leading to the performative nature of teaching and research behaviors. In interviews, 7 instructors expressed concerns about “everything being recorded,” 2 of whom explicitly indicated that they would consequently adjust their innovative attempts in classroom teaching.</w:t>
      </w:r>
    </w:p>
    <w:p>
      <w:pPr>
        <w:rPr>
          <w:rFonts w:cs="Times New Roman"/>
        </w:rPr>
      </w:pPr>
      <w:r>
        <w:rPr>
          <w:rFonts w:cs="Times New Roman"/>
        </w:rPr>
        <w:t xml:space="preserve">Second is the boundary of privacy protection. Although cryptographic technologies such as zero-knowledge proofs can in theory achieve selective disclosure that is “verifiable but not identifiable,” engineering implementations still involve potential risks such as metadata leakage and transaction-pattern analysis. Pohle and Thiel’s (2024) reflections on the European debate over digital sovereignty are equally applicable to the university context: data sovereignty should not be reduced to a technical implementation but requires the establishment of an institutional discourse that remains sensitive to individual vulnerability and freedom. </w:t>
      </w:r>
    </w:p>
    <w:p>
      <w:pPr>
        <w:rPr>
          <w:rFonts w:cs="Times New Roman"/>
        </w:rPr>
      </w:pPr>
      <w:r>
        <w:rPr>
          <w:rFonts w:cs="Times New Roman"/>
        </w:rPr>
        <w:t>Third is the structural tension of academic freedom. Under algorithmic governance, “code as law” reduces the arbitrariness of rule enforcement, but it may also trap academic freedom in the paradox of “freedom within rules.” Once governance rules are encoded, the right of interpretation effectively shifts to the technical architecture itself, posing a challenge to academic norms traditionally defined autonomously by the academic community.</w:t>
      </w:r>
    </w:p>
    <w:p>
      <w:pPr>
        <w:pStyle w:val="2"/>
        <w:rPr>
          <w:rFonts w:cs="Times New Roman"/>
        </w:rPr>
      </w:pPr>
      <w:r>
        <w:rPr>
          <w:rFonts w:cs="Times New Roman"/>
        </w:rPr>
        <w:t>5.2 Policy Recommendations: A Roadmap for Implementing a Trusted Data Environment</w:t>
      </w:r>
    </w:p>
    <w:p>
      <w:pPr>
        <w:rPr>
          <w:rFonts w:cs="Times New Roman"/>
        </w:rPr>
      </w:pPr>
      <w:r>
        <w:rPr>
          <w:rFonts w:cs="Times New Roman"/>
        </w:rPr>
        <w:t>Based on the findings of this study, we propose to university administrators a “three-stage,  three-pillar” roadmap for implementing a trusted data environment.</w:t>
      </w:r>
    </w:p>
    <w:p>
      <w:pPr>
        <w:rPr>
          <w:rFonts w:cs="Times New Roman"/>
        </w:rPr>
      </w:pPr>
      <w:r>
        <w:rPr>
          <w:rFonts w:cs="Times New Roman"/>
        </w:rPr>
        <w:t>Stage 1 (1–2 years): Foundation Building. The objective is to complete data classification and grading, clarify data ownership, and establish a dedicated data governance committee. Key tasks include issuing university-level data governance policies, building a data asset catalog, and deploying foundational consortium chain nodes.</w:t>
      </w:r>
    </w:p>
    <w:p>
      <w:pPr>
        <w:rPr>
          <w:rFonts w:cs="Times New Roman"/>
        </w:rPr>
      </w:pPr>
      <w:r>
        <w:rPr>
          <w:rFonts w:cs="Times New Roman"/>
        </w:rPr>
        <w:t>Stage 2 (2–4 years): Scenario-Based Piloting. The objective is to pilot the TDA system in “three-high” scenarios characterized by high audit costs, high dispute rates, and high privacy sensitivity, prioritizing areas such as degree certificates, transcripts, research outputs, and academic misconduct handling. Key tasks include establishing Trust Anchor cooperation with the education authority, advancing the local implementation of W3C credential standards, and cultivating students’ habits of using digital wallets.</w:t>
      </w:r>
    </w:p>
    <w:p>
      <w:pPr>
        <w:rPr>
          <w:rFonts w:cs="Times New Roman"/>
        </w:rPr>
      </w:pPr>
      <w:r>
        <w:rPr>
          <w:rFonts w:cs="Times New Roman"/>
        </w:rPr>
        <w:t>Stage 3 (4–6 years): Ecosystem Expansion. The objective is to achieve interconnection between the TDA system and the university’s external ecosystem (employers, foreign universities, government agencies), and to advance the mutual recognition of credentials across institutions and national borders. Key tasks include participating in the formulation of international credential standards, establishing regional university consortium chains, and developing personal data spaces for lifelong learning.</w:t>
      </w:r>
    </w:p>
    <w:p>
      <w:pPr>
        <w:rPr>
          <w:rFonts w:cs="Times New Roman"/>
        </w:rPr>
      </w:pPr>
      <w:r>
        <w:rPr>
          <w:rFonts w:cs="Times New Roman"/>
        </w:rPr>
        <w:t>The three pillars run throughout all stages. It should be specially noted that the above roadmap is not a one-size-fits-all scheme, but a “contextually adapted” reference framework. Universities of different tiers, geographical locations, and disciplinary structures should, when advancing TDA implementation, fully consider their own informatization foundations, faculty structures, governance cultures, and financial constraints, and reasonably determine staged objectives and priority areas.</w:t>
      </w:r>
    </w:p>
    <w:p>
      <w:pPr>
        <w:pStyle w:val="1"/>
        <w:spacing w:before="360" w:after="200"/>
        <w:rPr>
          <w:rFonts w:cs="Times New Roman"/>
        </w:rPr>
      </w:pPr>
      <w:r>
        <w:rPr>
          <w:rFonts w:eastAsia="黑体" w:cs="Times New Roman"/>
          <w:bCs/>
          <w:sz w:val="30"/>
          <w:szCs w:val="30"/>
        </w:rPr>
        <w:t>6 Conclusion</w:t>
      </w:r>
    </w:p>
    <w:p>
      <w:pPr>
        <w:rPr>
          <w:rFonts w:cs="Times New Roman"/>
        </w:rPr>
      </w:pPr>
      <w:r>
        <w:rPr>
          <w:rFonts w:cs="Times New Roman"/>
        </w:rPr>
        <w:t>Centered on the governance dilemmas in higher education administration, this study proposes and substantiates a governance framework with the Trusted Data Asset (TDA) at its core. Through theoretical construction, prototype design, and case-based empirical analysis, the following conclusions are drawn.</w:t>
      </w:r>
    </w:p>
    <w:p>
      <w:pPr>
        <w:rPr>
          <w:rFonts w:cs="Times New Roman"/>
        </w:rPr>
      </w:pPr>
      <w:r>
        <w:rPr>
          <w:rFonts w:cs="Times New Roman"/>
        </w:rPr>
        <w:t>First, as a novel governance instrument, TDA possesses a threefold connotation—technical, institutional, and governance-oriented—and can effectively resolve the structural challenges of “data silos, trust deficit, and ambiguous ownership” in universities. Second, the introduction of TDA reshapes the data ownership relations among universities, students, and government, devolving data sovereignty from the national level toward the organizational and individual levels, and laying the foundation for constructing a higher education ecosystem of multi-stakeholder co-governance. Third, from an empirical perspective, the TDA system can produce quantifiable governance improvements across dimensions such as audit efficiency, decision-making scientificity, and inter-subject trust; the X University case shows that the average audit cycle was shortened by approximately 41%, and the efficiency of academic misconduct handling was improved by approximately 75%. Fourth, the implementation of TDA is not merely a technological substitution, but a complex institutional change requiring the coordinated efforts of the three pillars of “technology–institution–humanities.”</w:t>
      </w:r>
    </w:p>
    <w:p>
      <w:pPr>
        <w:rPr>
          <w:rFonts w:cs="Times New Roman"/>
        </w:rPr>
      </w:pPr>
      <w:r>
        <w:rPr>
          <w:rFonts w:cs="Times New Roman"/>
        </w:rPr>
        <w:t>The significance of TDA in restructuring the higher education ecosystem will far exceed the currently visible efficiency gains. On the one hand, it will drive universities from traditional closed systems toward open governance, forming a trustworthy data-interoperability network with governments, enterprises, and the academic community. On the other hand, it will redefine learners’ digital identities and academic trajectories, turning lifelong learning, micro-credentials, and cross-institutional credit recognition from concepts into reality. At a time when digital sovereignty is increasingly becoming a focal point of national strategy, the level of modernization of data governance in universities—as the core organizations for knowledge production and talent cultivation—concerns not only their own governance effectiveness but also the foundational construction of the nation’s digital civilization as a whole.</w:t>
      </w:r>
    </w:p>
    <w:p>
      <w:pPr>
        <w:rPr>
          <w:rFonts w:cs="Times New Roman"/>
        </w:rPr>
      </w:pPr>
    </w:p>
    <w:p>
      <w:pPr>
        <w:pStyle w:val="1"/>
        <w:spacing w:before="360" w:after="200"/>
        <w:rPr>
          <w:rFonts w:cs="Times New Roman"/>
        </w:rPr>
      </w:pPr>
      <w:r>
        <w:rPr>
          <w:rFonts w:eastAsia="黑体" w:cs="Times New Roman"/>
          <w:bCs/>
          <w:sz w:val="30"/>
          <w:szCs w:val="30"/>
        </w:rPr>
        <w:t>References</w:t>
      </w:r>
    </w:p>
    <w:p>
      <w:pPr>
        <w:spacing w:after="60" w:line="300" w:lineRule="auto"/>
        <w:ind w:left="482" w:firstLineChars="0" w:firstLine="0"/>
        <w:rPr>
          <w:rFonts w:cs="Times New Roman"/>
          <w:sz w:val="21"/>
          <w:szCs w:val="21"/>
        </w:rPr>
      </w:pPr>
      <w:r>
        <w:rPr>
          <w:rFonts w:cs="Times New Roman"/>
        </w:rPr>
        <w:t xml:space="preserve"> </w:t>
      </w:r>
      <w:r>
        <w:rPr>
          <w:rFonts w:cs="Times New Roman"/>
          <w:sz w:val="21"/>
          <w:szCs w:val="21"/>
        </w:rPr>
        <w:t>[1] Liu Dongxue, Bie Rongfang, Sun Hongtao, Li Zhimin. Beijing Normal University’s Construction of a Global Data Governance and Empowerment System [J]. China Education Network, 2023, (09): 67–69.</w:t>
      </w:r>
    </w:p>
    <w:p>
      <w:pPr>
        <w:spacing w:after="60" w:line="300" w:lineRule="auto"/>
        <w:ind w:left="482" w:firstLineChars="0" w:firstLine="0"/>
        <w:rPr>
          <w:rFonts w:cs="Times New Roman"/>
          <w:sz w:val="21"/>
          <w:szCs w:val="21"/>
        </w:rPr>
      </w:pPr>
      <w:r>
        <w:rPr>
          <w:rFonts w:cs="Times New Roman"/>
          <w:sz w:val="21"/>
          <w:szCs w:val="21"/>
        </w:rPr>
        <w:t>[2] Du Yue. Research on Data Governance Policies of Chinese Universities from the Perspective of Big Data [D]. Beijing University of Posts and Telecommunications, 2024.</w:t>
      </w:r>
    </w:p>
    <w:p>
      <w:pPr>
        <w:spacing w:after="60" w:line="300" w:lineRule="auto"/>
        <w:ind w:left="482" w:firstLineChars="0" w:firstLine="0"/>
        <w:rPr>
          <w:rFonts w:cs="Times New Roman"/>
          <w:sz w:val="21"/>
          <w:szCs w:val="21"/>
        </w:rPr>
      </w:pPr>
      <w:r>
        <w:rPr>
          <w:rFonts w:cs="Times New Roman"/>
          <w:sz w:val="21"/>
          <w:szCs w:val="21"/>
        </w:rPr>
        <w:t>[3] Wang Nan, Du Yue. A Textual Study of Data Governance Policies of China’s First-Class Universities in the Digital Era [J]. Chinese Journal of ICT in Education, 2024, 30 (05): 45–54.</w:t>
      </w:r>
    </w:p>
    <w:p>
      <w:pPr>
        <w:spacing w:after="60" w:line="300" w:lineRule="auto"/>
        <w:ind w:left="482" w:firstLineChars="0" w:firstLine="0"/>
        <w:rPr>
          <w:rFonts w:cs="Times New Roman"/>
          <w:sz w:val="21"/>
          <w:szCs w:val="21"/>
        </w:rPr>
      </w:pPr>
      <w:r>
        <w:rPr>
          <w:rFonts w:cs="Times New Roman"/>
          <w:sz w:val="21"/>
          <w:szCs w:val="21"/>
        </w:rPr>
        <w:t>[4] Chu Hongqi. Drawing a Panoramic Map of Educational Governance: Conceptual Expansion and System Improvement of Educational Governance [J]. Educational Research, 2021, 42 (12): 105–119.</w:t>
      </w:r>
    </w:p>
    <w:p>
      <w:pPr>
        <w:spacing w:after="60" w:line="300" w:lineRule="auto"/>
        <w:ind w:left="482" w:firstLineChars="0" w:firstLine="0"/>
        <w:rPr>
          <w:rFonts w:cs="Times New Roman"/>
          <w:sz w:val="21"/>
          <w:szCs w:val="21"/>
        </w:rPr>
      </w:pPr>
      <w:r>
        <w:rPr>
          <w:rFonts w:cs="Times New Roman"/>
          <w:sz w:val="21"/>
          <w:szCs w:val="21"/>
        </w:rPr>
        <w:t>[5] Zhang Tianxue, Zhu Yilin. Modernization of Educational Governance: A Policy System and Action Based on Conceptual Re-interpretation [J]. Journal of Zhejiang Normal University (Social Sciences), 2021, 46 (04): 99–105.</w:t>
      </w:r>
    </w:p>
    <w:p>
      <w:pPr>
        <w:spacing w:after="60" w:line="300" w:lineRule="auto"/>
        <w:ind w:left="482" w:firstLineChars="0" w:firstLine="0"/>
        <w:rPr>
          <w:rFonts w:cs="Times New Roman"/>
          <w:sz w:val="21"/>
          <w:szCs w:val="21"/>
        </w:rPr>
      </w:pPr>
      <w:r>
        <w:rPr>
          <w:rFonts w:cs="Times New Roman"/>
          <w:sz w:val="21"/>
          <w:szCs w:val="21"/>
        </w:rPr>
        <w:t>[6] Li Jing, Zhu Yan, Wang Han. Trusted Data Space Empowering the Ecological Transformation of China’s Digital Publishing Industry: Mechanisms, Pathways, and Prospects [J]. China Digital Publishing, 2025, 3 (06): 1–8.</w:t>
      </w:r>
    </w:p>
    <w:p>
      <w:pPr>
        <w:spacing w:after="60" w:line="300" w:lineRule="auto"/>
        <w:ind w:left="482" w:firstLineChars="0" w:firstLine="0"/>
        <w:rPr>
          <w:rFonts w:cs="Times New Roman"/>
          <w:sz w:val="21"/>
          <w:szCs w:val="21"/>
        </w:rPr>
      </w:pPr>
      <w:r>
        <w:rPr>
          <w:rFonts w:cs="Times New Roman"/>
          <w:sz w:val="21"/>
          <w:szCs w:val="21"/>
        </w:rPr>
        <w:t>[7] Bai Hao, Liu Zhipeng. Research on Secure Sharing of University Data Platforms Based on Consortium Blockchain [J]. Modern Electronics Technique, 2024, 47 (18): 52–56.</w:t>
      </w:r>
    </w:p>
    <w:p>
      <w:pPr>
        <w:spacing w:after="60" w:line="300" w:lineRule="auto"/>
        <w:ind w:left="482" w:firstLineChars="0" w:firstLine="0"/>
        <w:rPr>
          <w:rFonts w:cs="Times New Roman"/>
          <w:sz w:val="21"/>
          <w:szCs w:val="21"/>
        </w:rPr>
      </w:pPr>
      <w:r>
        <w:rPr>
          <w:rFonts w:cs="Times New Roman"/>
          <w:sz w:val="21"/>
          <w:szCs w:val="21"/>
        </w:rPr>
        <w:t>[8] Jiang Guangxue, Liu Fudong. Exploring the Mechanism Construction of University Administrative Data Governance from the Perspective of National Public Data Management—A Case Study of Peking University [J]. Chinese University Science &amp; Technology, 2024, (11): 1–4.</w:t>
      </w:r>
    </w:p>
    <w:p>
      <w:pPr>
        <w:spacing w:after="60" w:line="300" w:lineRule="auto"/>
        <w:ind w:left="482" w:firstLineChars="0" w:firstLine="0"/>
        <w:rPr>
          <w:rFonts w:cs="Times New Roman"/>
          <w:sz w:val="21"/>
          <w:szCs w:val="21"/>
        </w:rPr>
      </w:pPr>
      <w:r>
        <w:rPr>
          <w:rFonts w:cs="Times New Roman"/>
          <w:sz w:val="21"/>
          <w:szCs w:val="21"/>
        </w:rPr>
        <w:t>[9] Liu Yaya. Analysis of the Necessity and Measures of Higher Education Management Innovation under New Circumstances—A Review of Theoretical Research and Practical Exploration of Higher Education Management [J]. Theory and Practice of Education, 2024, 44 (29): 65.</w:t>
      </w:r>
    </w:p>
    <w:p>
      <w:pPr>
        <w:spacing w:after="60" w:line="300" w:lineRule="auto"/>
        <w:ind w:left="482" w:firstLineChars="0" w:firstLine="0"/>
        <w:rPr>
          <w:rFonts w:cs="Times New Roman"/>
          <w:sz w:val="21"/>
          <w:szCs w:val="21"/>
        </w:rPr>
      </w:pPr>
      <w:r>
        <w:rPr>
          <w:rFonts w:cs="Times New Roman"/>
          <w:sz w:val="21"/>
          <w:szCs w:val="21"/>
        </w:rPr>
        <w:t>[10] Zeng Pengyuan. Exploration and Practice of the Faculty “One-Sheet” Platform in University Data Governance [J]. Fujian Computer, 2025, 41 (02): 57–61.</w:t>
      </w:r>
    </w:p>
    <w:p>
      <w:pPr>
        <w:spacing w:after="60" w:line="300" w:lineRule="auto"/>
        <w:ind w:left="482" w:firstLineChars="0" w:firstLine="0"/>
        <w:rPr>
          <w:rFonts w:cs="Times New Roman"/>
          <w:sz w:val="21"/>
          <w:szCs w:val="21"/>
        </w:rPr>
      </w:pPr>
      <w:r>
        <w:rPr>
          <w:rFonts w:cs="Times New Roman"/>
          <w:sz w:val="21"/>
          <w:szCs w:val="21"/>
        </w:rPr>
        <w:t>[11] Shan Haipeng, Peng Sen, Meng Zihan, Xue Longfei. Research on the Transformation Logic and Internal Mechanism of Higher Education Teaching Models in the Digital Era [N]. Hebei Economic Daily, 2026-03-26 (009).</w:t>
      </w:r>
    </w:p>
    <w:p>
      <w:pPr>
        <w:spacing w:after="60" w:line="300" w:lineRule="auto"/>
        <w:ind w:left="482" w:firstLineChars="0" w:firstLine="0"/>
        <w:rPr>
          <w:rFonts w:cs="Times New Roman"/>
          <w:sz w:val="21"/>
          <w:szCs w:val="21"/>
        </w:rPr>
      </w:pPr>
      <w:r>
        <w:rPr>
          <w:rFonts w:cs="Times New Roman"/>
          <w:sz w:val="21"/>
          <w:szCs w:val="21"/>
        </w:rPr>
        <w:t>[12] Liu Jun, Hu Xinru, Hu Ying, Shi Ying, Lu Yao. Research on Evaluation Standards for Higher Education Digital Transformation Capability [J]. Standard Science, 2026, (03): 54–61.</w:t>
      </w:r>
    </w:p>
    <w:p>
      <w:pPr>
        <w:spacing w:after="60" w:line="300" w:lineRule="auto"/>
        <w:ind w:left="482" w:firstLineChars="0" w:firstLine="0"/>
        <w:rPr>
          <w:rFonts w:cs="Times New Roman"/>
          <w:sz w:val="21"/>
          <w:szCs w:val="21"/>
        </w:rPr>
      </w:pPr>
      <w:r>
        <w:rPr>
          <w:rFonts w:cs="Times New Roman"/>
          <w:sz w:val="21"/>
          <w:szCs w:val="21"/>
        </w:rPr>
        <w:t>[13] Zhang Zhenhuan, Wu Jilin. The Dilemmas, Driving Mechanisms, and Implementation Pathways of Higher Education Digital Transformation [J]. Adult Education in China, 2026, (03): 47–54.</w:t>
      </w:r>
    </w:p>
    <w:p>
      <w:pPr>
        <w:spacing w:after="60" w:line="300" w:lineRule="auto"/>
        <w:ind w:left="482" w:firstLineChars="0" w:firstLine="0"/>
        <w:rPr>
          <w:rFonts w:cs="Times New Roman"/>
          <w:sz w:val="21"/>
          <w:szCs w:val="21"/>
        </w:rPr>
      </w:pPr>
      <w:r>
        <w:rPr>
          <w:rFonts w:cs="Times New Roman"/>
          <w:sz w:val="21"/>
          <w:szCs w:val="21"/>
        </w:rPr>
        <w:t>[14] Tao Mozhi. A Comparative Study of Data Governance at Top UK Universities in the Era of Big Data [D]. Hunan Normal University, 2022.</w:t>
      </w:r>
    </w:p>
    <w:p>
      <w:pPr>
        <w:spacing w:after="60" w:line="300" w:lineRule="auto"/>
        <w:ind w:left="482" w:firstLineChars="0" w:firstLine="0"/>
        <w:rPr>
          <w:rFonts w:cs="Times New Roman"/>
        </w:rPr>
      </w:pPr>
      <w:r>
        <w:rPr>
          <w:rFonts w:cs="Times New Roman"/>
          <w:sz w:val="21"/>
          <w:szCs w:val="21"/>
        </w:rPr>
        <w:t>[15] Liu Yaqin, Mao Wenhui, Wu Chi, Yu Junqing, Wang Shixian. Promoting Data Governance Practices Oriented to University Faculty Based on the “One-Sheet” Platform [J]. Modern Educational Technology, 2022, 32 (01): 118–126.</w:t>
      </w:r>
    </w:p>
    <w:sectPr>
      <w:pgSz w:w="11906" w:h="16838"/>
      <w:pgMar w:top="1440" w:right="1440" w:bottom="1440" w:left="1440" w:header="708" w:footer="708" w:gutter="0"/>
      <w:cols w:num="1" w:space="720"/>
      <w:docGrid w:linePitch="360"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displayBackgroundShape/>
  <w:bordersDoNotSurroundHeader/>
  <w:bordersDoNotSurroundFooter/>
  <w:defaultTabStop w:val="420"/>
  <w:drawingGridHorizontalSpacing w:val="120"/>
  <w:drawingGridVerticalSpacing w:val="163"/>
  <w:displayHorizontalDrawingGridEvery w:val="0"/>
  <w:displayVerticalDrawingGridEvery w:val="1"/>
  <w:compat>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360" w:lineRule="auto"/>
      <w:ind w:firstLineChars="200" w:firstLine="200"/>
      <w:jc w:val="both"/>
    </w:pPr>
    <w:rPr>
      <w:rFonts w:ascii="Times New Roman" w:eastAsia="宋体" w:cs="宋体" w:hAnsi="Times New Roman"/>
      <w:sz w:val="24"/>
      <w:szCs w:val="24"/>
      <w:lang w:val="en-US" w:eastAsia="zh-CN" w:bidi="ar-SA"/>
    </w:rPr>
  </w:style>
  <w:style w:type="paragraph" w:styleId="1">
    <w:name w:val="heading 1"/>
    <w:qFormat/>
    <w:link w:val="1Char"/>
    <w:pPr>
      <w:spacing w:line="360" w:lineRule="auto"/>
      <w:outlineLvl w:val="0"/>
    </w:pPr>
    <w:rPr>
      <w:rFonts w:ascii="Times New Roman" w:eastAsia="宋体" w:cs="宋体" w:hAnsi="Times New Roman"/>
      <w:b/>
      <w:sz w:val="32"/>
      <w:szCs w:val="32"/>
      <w:lang w:val="en-US" w:eastAsia="zh-CN" w:bidi="ar-SA"/>
    </w:rPr>
  </w:style>
  <w:style w:type="character" w:customStyle="1" w:styleId="1Char">
    <w:name w:val="heading 1 Char"/>
    <w:basedOn w:val="10"/>
    <w:link w:val="1"/>
    <w:rPr>
      <w:rFonts w:ascii="Times New Roman" w:eastAsia="宋体" w:cs="宋体" w:hAnsi="Times New Roman"/>
      <w:b/>
      <w:sz w:val="32"/>
      <w:szCs w:val="32"/>
      <w:lang w:val="en-US" w:eastAsia="zh-CN" w:bidi="ar-SA"/>
    </w:rPr>
  </w:style>
  <w:style w:type="paragraph" w:styleId="2">
    <w:name w:val="heading 2"/>
    <w:qFormat/>
    <w:link w:val="2Char"/>
    <w:pPr>
      <w:spacing w:line="360" w:lineRule="auto"/>
      <w:outlineLvl w:val="1"/>
    </w:pPr>
    <w:rPr>
      <w:rFonts w:ascii="Times New Roman" w:eastAsia="宋体" w:cs="宋体" w:hAnsi="Times New Roman"/>
      <w:b/>
      <w:sz w:val="28"/>
      <w:szCs w:val="26"/>
      <w:lang w:val="en-US" w:eastAsia="zh-CN" w:bidi="ar-SA"/>
    </w:rPr>
  </w:style>
  <w:style w:type="character" w:customStyle="1" w:styleId="2Char">
    <w:name w:val="heading 2 Char"/>
    <w:basedOn w:val="10"/>
    <w:link w:val="2"/>
    <w:rPr>
      <w:rFonts w:ascii="Times New Roman" w:eastAsia="宋体" w:cs="宋体" w:hAnsi="Times New Roman"/>
      <w:b/>
      <w:sz w:val="28"/>
      <w:szCs w:val="26"/>
      <w:lang w:val="en-US" w:eastAsia="zh-CN" w:bidi="ar-SA"/>
    </w:rPr>
  </w:style>
  <w:style w:type="paragraph" w:styleId="3">
    <w:name w:val="heading 3"/>
    <w:qFormat/>
    <w:link w:val="3Char"/>
    <w:pPr>
      <w:spacing w:line="360" w:lineRule="auto"/>
      <w:outlineLvl w:val="2"/>
    </w:pPr>
    <w:rPr>
      <w:rFonts w:ascii="宋体" w:eastAsia="宋体" w:cs="宋体" w:hAnsi="宋体"/>
      <w:b/>
      <w:sz w:val="24"/>
      <w:szCs w:val="24"/>
      <w:lang w:val="en-US" w:eastAsia="zh-CN" w:bidi="ar-SA"/>
    </w:rPr>
  </w:style>
  <w:style w:type="character" w:customStyle="1" w:styleId="3Char">
    <w:name w:val="heading 3 Char"/>
    <w:basedOn w:val="10"/>
    <w:link w:val="3"/>
    <w:rPr>
      <w:rFonts w:ascii="宋体" w:eastAsia="宋体" w:cs="宋体" w:hAnsi="宋体"/>
      <w:b/>
      <w:sz w:val="24"/>
      <w:szCs w:val="24"/>
      <w:lang w:val="en-US" w:eastAsia="zh-CN" w:bidi="ar-SA"/>
    </w:rPr>
  </w:style>
  <w:style w:type="paragraph" w:styleId="4">
    <w:name w:val="heading 4"/>
    <w:qFormat/>
    <w:link w:val="4Char"/>
    <w:pPr>
      <w:outlineLvl w:val="3"/>
    </w:pPr>
    <w:rPr>
      <w:rFonts w:ascii="宋体" w:eastAsia="宋体" w:cs="宋体" w:hAnsi="宋体"/>
      <w:i/>
      <w:iCs/>
      <w:color w:val="2E74B5"/>
      <w:sz w:val="24"/>
      <w:szCs w:val="24"/>
      <w:lang w:val="en-US" w:eastAsia="zh-CN" w:bidi="ar-SA"/>
    </w:rPr>
  </w:style>
  <w:style w:type="character" w:customStyle="1" w:styleId="4Char">
    <w:name w:val="heading 4 Char"/>
    <w:basedOn w:val="10"/>
    <w:link w:val="4"/>
    <w:rPr>
      <w:rFonts w:ascii="宋体" w:eastAsia="宋体" w:cs="宋体" w:hAnsi="宋体"/>
      <w:i/>
      <w:iCs/>
      <w:color w:val="2E74B5"/>
      <w:sz w:val="24"/>
      <w:szCs w:val="24"/>
      <w:lang w:val="en-US" w:eastAsia="zh-CN" w:bidi="ar-SA"/>
    </w:rPr>
  </w:style>
  <w:style w:type="paragraph" w:styleId="5">
    <w:name w:val="heading 5"/>
    <w:qFormat/>
    <w:link w:val="5Char"/>
    <w:pPr>
      <w:outlineLvl w:val="4"/>
    </w:pPr>
    <w:rPr>
      <w:rFonts w:ascii="宋体" w:eastAsia="宋体" w:cs="宋体" w:hAnsi="宋体"/>
      <w:color w:val="2E74B5"/>
      <w:sz w:val="24"/>
      <w:szCs w:val="24"/>
      <w:lang w:val="en-US" w:eastAsia="zh-CN" w:bidi="ar-SA"/>
    </w:rPr>
  </w:style>
  <w:style w:type="character" w:customStyle="1" w:styleId="5Char">
    <w:name w:val="heading 5 Char"/>
    <w:basedOn w:val="10"/>
    <w:link w:val="5"/>
    <w:rPr>
      <w:rFonts w:ascii="宋体" w:eastAsia="宋体" w:cs="宋体" w:hAnsi="宋体"/>
      <w:color w:val="2E74B5"/>
      <w:sz w:val="24"/>
      <w:szCs w:val="24"/>
      <w:lang w:val="en-US" w:eastAsia="zh-CN" w:bidi="ar-SA"/>
    </w:rPr>
  </w:style>
  <w:style w:type="paragraph" w:styleId="6">
    <w:name w:val="heading 6"/>
    <w:qFormat/>
    <w:link w:val="6Char"/>
    <w:pPr>
      <w:outlineLvl w:val="5"/>
    </w:pPr>
    <w:rPr>
      <w:rFonts w:ascii="宋体" w:eastAsia="宋体" w:cs="宋体" w:hAnsi="宋体"/>
      <w:color w:val="1F4D78"/>
      <w:sz w:val="24"/>
      <w:szCs w:val="24"/>
      <w:lang w:val="en-US" w:eastAsia="zh-CN" w:bidi="ar-SA"/>
    </w:rPr>
  </w:style>
  <w:style w:type="character" w:customStyle="1" w:styleId="6Char">
    <w:name w:val="heading 6 Char"/>
    <w:basedOn w:val="10"/>
    <w:link w:val="6"/>
    <w:rPr>
      <w:rFonts w:ascii="宋体" w:eastAsia="宋体" w:cs="宋体" w:hAnsi="宋体"/>
      <w:color w:val="1F4D78"/>
      <w:sz w:val="24"/>
      <w:szCs w:val="24"/>
      <w:lang w:val="en-US" w:eastAsia="zh-CN" w:bidi="ar-SA"/>
    </w:rPr>
  </w:style>
  <w:style w:type="character" w:default="1" w:styleId="10">
    <w:name w:val="Default Paragraph Font"/>
    <w:qFormat/>
  </w:style>
  <w:style w:type="paragraph" w:styleId="15">
    <w:name w:val="Title"/>
    <w:qFormat/>
    <w:rPr>
      <w:rFonts w:ascii="宋体" w:eastAsia="宋体" w:cs="宋体" w:hAnsi="宋体"/>
      <w:sz w:val="56"/>
      <w:szCs w:val="56"/>
      <w:lang w:val="en-US" w:eastAsia="zh-CN" w:bidi="ar-SA"/>
    </w:rPr>
  </w:style>
  <w:style w:type="paragraph" w:customStyle="1" w:yozoId="4094" w:styleId="16">
    <w:name w:val="要点1"/>
    <w:qFormat/>
    <w:rPr>
      <w:rFonts w:ascii="宋体" w:eastAsia="宋体" w:cs="宋体" w:hAnsi="宋体"/>
      <w:b/>
      <w:bCs/>
      <w:sz w:val="24"/>
      <w:szCs w:val="24"/>
      <w:lang w:val="en-US" w:eastAsia="zh-CN" w:bidi="ar-SA"/>
    </w:rPr>
  </w:style>
  <w:style w:type="paragraph" w:styleId="17">
    <w:name w:val="List Paragraph"/>
    <w:qFormat/>
    <w:rPr>
      <w:rFonts w:ascii="宋体" w:eastAsia="宋体" w:cs="宋体" w:hAnsi="宋体"/>
      <w:sz w:val="24"/>
      <w:szCs w:val="24"/>
      <w:lang w:val="en-US" w:eastAsia="zh-CN" w:bidi="ar-SA"/>
    </w:rPr>
  </w:style>
  <w:style w:type="character" w:styleId="18">
    <w:name w:val="Hyperlink"/>
    <w:qFormat/>
    <w:rPr>
      <w:color w:val="0563C1"/>
      <w:u w:val="single"/>
    </w:rPr>
  </w:style>
  <w:style w:type="character" w:styleId="19">
    <w:name w:val="footnote reference"/>
    <w:qFormat/>
    <w:rPr>
      <w:vertAlign w:val="superscript"/>
    </w:rPr>
  </w:style>
  <w:style w:type="paragraph" w:styleId="20">
    <w:name w:val="footnote text"/>
    <w:qFormat/>
    <w:rPr>
      <w:rFonts w:ascii="宋体" w:eastAsia="宋体" w:cs="宋体" w:hAnsi="宋体"/>
      <w:sz w:val="20"/>
      <w:szCs w:val="20"/>
      <w:lang w:val="en-US" w:eastAsia="zh-CN" w:bidi="ar-SA"/>
    </w:rPr>
  </w:style>
  <w:style w:type="character" w:styleId="21">
    <w:name w:val="endnote reference"/>
    <w:qFormat/>
    <w:rPr>
      <w:vertAlign w:val="superscript"/>
    </w:rPr>
  </w:style>
  <w:style w:type="paragraph" w:styleId="22">
    <w:name w:val="endnote text"/>
    <w:qFormat/>
    <w:rPr>
      <w:rFonts w:ascii="宋体" w:eastAsia="宋体" w:cs="宋体" w:hAnsi="宋体"/>
      <w:sz w:val="20"/>
      <w:szCs w:val="20"/>
      <w:lang w:val="en-US" w:eastAsia="zh-CN" w:bidi="ar-SA"/>
    </w:rPr>
  </w:style>
  <w:style w:type="paragraph" w:styleId="23">
    <w:name w:val="header"/>
    <w:qFormat/>
    <w:basedOn w:val="0"/>
    <w:pPr>
      <w:tabs>
        <w:tab w:val="center" w:pos="4153"/>
        <w:tab w:val="right" w:pos="8306"/>
      </w:tabs>
      <w:snapToGrid w:val="0"/>
      <w:spacing w:line="240" w:lineRule="auto"/>
      <w:jc w:val="center"/>
    </w:pPr>
    <w:rPr>
      <w:sz w:val="18"/>
      <w:szCs w:val="18"/>
    </w:rPr>
  </w:style>
  <w:style w:type="paragraph" w:styleId="24">
    <w:name w:val="footer"/>
    <w:qFormat/>
    <w:basedOn w:val="0"/>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C61E3C21-CF2B-48BB-B34B-C940AC16A79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841</TotalTime>
  <Application>Yozo_Office9.0.5847.101ZH.SP1.S1</Application>
  <Pages>16</Pages>
  <Words>0</Words>
  <Characters>28464</Characters>
  <Lines>0</Lines>
  <Paragraphs>115</Paragraphs>
  <CharactersWithSpaces>37952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TDA-higher-education-governance</dc:title>
  <dc:creator>Androad</dc:creator>
  <cp:lastModifiedBy>xlyaa</cp:lastModifiedBy>
  <cp:revision>149</cp:revision>
  <dcterms:created xsi:type="dcterms:W3CDTF">2026-04-24T06:37:00Z</dcterms:created>
  <dcterms:modified xsi:type="dcterms:W3CDTF">2026-07-07T15:13:58Z</dcterms:modified>
</cp:coreProperties>
</file>